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CC10" w14:textId="3E34B9BC" w:rsidR="00A47921" w:rsidRDefault="4A1EB668">
      <w:pPr>
        <w:pStyle w:val="Title"/>
        <w:spacing w:after="120" w:line="266" w:lineRule="auto"/>
        <w:jc w:val="center"/>
        <w:rPr>
          <w:color w:val="002060"/>
        </w:rPr>
      </w:pPr>
      <w:r>
        <w:t xml:space="preserve"> </w:t>
      </w:r>
      <w:r w:rsidR="00DA09E4">
        <w:rPr>
          <w:noProof/>
          <w:lang w:val="en-US" w:eastAsia="en-US" w:bidi="ar-SA"/>
        </w:rPr>
        <w:drawing>
          <wp:inline distT="0" distB="0" distL="0" distR="0" wp14:anchorId="43FEEDD4" wp14:editId="427B9259">
            <wp:extent cx="2184400" cy="613678"/>
            <wp:effectExtent l="0" t="0" r="0" b="0"/>
            <wp:docPr id="5188919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61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D179D" w14:textId="276E7685" w:rsidR="00D43AA6" w:rsidRPr="00A47921" w:rsidRDefault="00DA09E4">
      <w:pPr>
        <w:pStyle w:val="Title"/>
        <w:spacing w:after="120" w:line="266" w:lineRule="auto"/>
        <w:jc w:val="center"/>
        <w:rPr>
          <w:color w:val="002060"/>
        </w:rPr>
      </w:pPr>
      <w:r>
        <w:rPr>
          <w:color w:val="002060"/>
        </w:rPr>
        <w:br/>
      </w:r>
      <w:r w:rsidR="0094626C" w:rsidRPr="00A47921">
        <w:rPr>
          <w:color w:val="002060"/>
        </w:rPr>
        <w:t>Carbon Reduction Plan</w:t>
      </w:r>
    </w:p>
    <w:p w14:paraId="6F0ED0AD" w14:textId="53E8F024" w:rsidR="002E4AB8" w:rsidRPr="002E4AB8" w:rsidRDefault="005B60A4" w:rsidP="00532D34">
      <w:pPr>
        <w:pStyle w:val="Standard"/>
        <w:spacing w:after="120" w:line="266" w:lineRule="auto"/>
        <w:jc w:val="center"/>
      </w:pPr>
      <w:r>
        <w:t>March 1</w:t>
      </w:r>
      <w:r w:rsidR="009839C0">
        <w:t>6</w:t>
      </w:r>
      <w:r w:rsidR="00B31735" w:rsidRPr="007531AD">
        <w:t>, 202</w:t>
      </w:r>
      <w:r>
        <w:t>6</w:t>
      </w:r>
      <w:bookmarkStart w:id="0" w:name="_heading=h.30j0zll"/>
      <w:bookmarkEnd w:id="0"/>
    </w:p>
    <w:p w14:paraId="721D179F" w14:textId="0F16FA57" w:rsidR="00D43AA6" w:rsidRPr="00A47921" w:rsidRDefault="0094626C" w:rsidP="008B47CE">
      <w:pPr>
        <w:pStyle w:val="Heading1"/>
      </w:pPr>
      <w:r w:rsidRPr="00A47921">
        <w:t xml:space="preserve">Our commitment to achieving </w:t>
      </w:r>
      <w:r w:rsidR="00A9782F">
        <w:t>n</w:t>
      </w:r>
      <w:r w:rsidRPr="00A47921">
        <w:t xml:space="preserve">et </w:t>
      </w:r>
      <w:r w:rsidR="00A9782F">
        <w:t>z</w:t>
      </w:r>
      <w:r w:rsidRPr="00A47921">
        <w:t>ero</w:t>
      </w:r>
    </w:p>
    <w:p w14:paraId="514C6E44" w14:textId="3709FEFE" w:rsidR="005F091F" w:rsidRDefault="005F091F" w:rsidP="005F091F">
      <w:bookmarkStart w:id="1" w:name="_heading=h.1fob9te"/>
      <w:bookmarkEnd w:id="1"/>
      <w:r>
        <w:t>At HCA Healthcare UK, we</w:t>
      </w:r>
      <w:r w:rsidR="001104B2">
        <w:t>’</w:t>
      </w:r>
      <w:r>
        <w:t xml:space="preserve">re committed to the care and improvement of human life. We </w:t>
      </w:r>
      <w:r w:rsidR="003B41F1">
        <w:t xml:space="preserve">believe </w:t>
      </w:r>
      <w:r>
        <w:t xml:space="preserve">that </w:t>
      </w:r>
      <w:r w:rsidR="00A9782F">
        <w:t>our own health</w:t>
      </w:r>
      <w:r>
        <w:t xml:space="preserve"> and the health of </w:t>
      </w:r>
      <w:r w:rsidR="00A9782F">
        <w:t>our</w:t>
      </w:r>
      <w:r>
        <w:t xml:space="preserve"> planet are linked, so reducing our environmental impact is </w:t>
      </w:r>
      <w:r w:rsidR="65B1BA19">
        <w:t>important to</w:t>
      </w:r>
      <w:r>
        <w:t xml:space="preserve"> our mission. </w:t>
      </w:r>
    </w:p>
    <w:p w14:paraId="7C2EFAFE" w14:textId="77777777" w:rsidR="005F091F" w:rsidRDefault="005F091F" w:rsidP="005F091F"/>
    <w:p w14:paraId="315FEFBD" w14:textId="0FA7E093" w:rsidR="005F091F" w:rsidRDefault="005F091F" w:rsidP="005F091F">
      <w:r>
        <w:t xml:space="preserve">With that in mind, we’ve set out an environmental sustainability strategy and a target of being a net zero business by 2035 for scope 1 and 2 emissions, and </w:t>
      </w:r>
      <w:r w:rsidR="00C41273">
        <w:t xml:space="preserve">by </w:t>
      </w:r>
      <w:r>
        <w:t>2045 for scope 3 emissions.</w:t>
      </w:r>
    </w:p>
    <w:p w14:paraId="7E06A74F" w14:textId="36B3F6FB" w:rsidR="005F091F" w:rsidRDefault="005F091F" w:rsidP="005F091F"/>
    <w:p w14:paraId="604D6BDF" w14:textId="77DB95FD" w:rsidR="005F091F" w:rsidRPr="005F091F" w:rsidRDefault="005F091F" w:rsidP="005F091F">
      <w:pPr>
        <w:rPr>
          <w:b/>
        </w:rPr>
      </w:pPr>
      <w:r w:rsidRPr="005F091F">
        <w:rPr>
          <w:b/>
        </w:rPr>
        <w:t xml:space="preserve">Our sustainability </w:t>
      </w:r>
      <w:r>
        <w:rPr>
          <w:b/>
        </w:rPr>
        <w:t>strategy</w:t>
      </w:r>
    </w:p>
    <w:p w14:paraId="153032B1" w14:textId="6F1D84FA" w:rsidR="005F091F" w:rsidRDefault="005F091F" w:rsidP="005F091F">
      <w:r>
        <w:t xml:space="preserve">Acting to reduce our carbon emissions and investing in the long-term health of our planet is </w:t>
      </w:r>
      <w:r w:rsidR="003B41F1">
        <w:t xml:space="preserve">part of our work </w:t>
      </w:r>
      <w:r>
        <w:t xml:space="preserve">to ensure a healthy future for everyone. Our Environmental Sustainability Strategy at HCA </w:t>
      </w:r>
      <w:r w:rsidR="002E4AB8">
        <w:t>U</w:t>
      </w:r>
      <w:r>
        <w:t xml:space="preserve">K sets a vision for sustainability that includes both net zero and nature positive goals.  </w:t>
      </w:r>
    </w:p>
    <w:p w14:paraId="1168AE07" w14:textId="33CC5157" w:rsidR="47DA66B7" w:rsidRDefault="47DA66B7"/>
    <w:p w14:paraId="5E207A12" w14:textId="0CE32F9B" w:rsidR="3CB92DEC" w:rsidRDefault="3CB92DEC"/>
    <w:p w14:paraId="60162064" w14:textId="20364137" w:rsidR="3CB92DEC" w:rsidRDefault="0B3F42AE">
      <w:r>
        <w:rPr>
          <w:noProof/>
          <w:lang w:val="en-US" w:eastAsia="en-US" w:bidi="ar-SA"/>
        </w:rPr>
        <w:drawing>
          <wp:inline distT="0" distB="0" distL="0" distR="0" wp14:anchorId="2538696A" wp14:editId="0DECCBB2">
            <wp:extent cx="5724524" cy="2990850"/>
            <wp:effectExtent l="0" t="0" r="0" b="0"/>
            <wp:docPr id="1733245114" name="Picture 1733245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5E10" w14:textId="1D98C855" w:rsidR="3CB92DEC" w:rsidRDefault="3CB92DEC"/>
    <w:p w14:paraId="10E4F929" w14:textId="6BC9EF28" w:rsidR="3CB92DEC" w:rsidRDefault="3CB92DEC"/>
    <w:p w14:paraId="5F424C7F" w14:textId="34B49202" w:rsidR="3CB92DEC" w:rsidRDefault="3CB92DEC"/>
    <w:p w14:paraId="0DC8FC99" w14:textId="0E70C338" w:rsidR="3CB92DEC" w:rsidRDefault="3CB92DEC"/>
    <w:p w14:paraId="45E58780" w14:textId="6B25788B" w:rsidR="0B5C2D8D" w:rsidRDefault="0B5C2D8D"/>
    <w:p w14:paraId="002AB192" w14:textId="24D054D6" w:rsidR="008B47CE" w:rsidRPr="00B31735" w:rsidRDefault="008B47CE" w:rsidP="008B47CE"/>
    <w:p w14:paraId="42A7D65F" w14:textId="77777777" w:rsidR="004A50C0" w:rsidRDefault="004A50C0">
      <w:pPr>
        <w:widowControl w:val="0"/>
        <w:suppressAutoHyphens w:val="0"/>
        <w:rPr>
          <w:b/>
          <w:color w:val="002060"/>
          <w:sz w:val="28"/>
          <w:szCs w:val="28"/>
        </w:rPr>
      </w:pPr>
      <w:bookmarkStart w:id="2" w:name="_heading=h.3znysh7"/>
      <w:bookmarkEnd w:id="2"/>
      <w:r>
        <w:br w:type="page"/>
      </w:r>
    </w:p>
    <w:p w14:paraId="721D17A1" w14:textId="392B0692" w:rsidR="00D43AA6" w:rsidRDefault="0094626C" w:rsidP="008B47CE">
      <w:pPr>
        <w:pStyle w:val="Heading1"/>
      </w:pPr>
      <w:r w:rsidRPr="00A47921">
        <w:lastRenderedPageBreak/>
        <w:t>Our baseline emissions footprint</w:t>
      </w:r>
    </w:p>
    <w:tbl>
      <w:tblPr>
        <w:tblW w:w="945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7320"/>
      </w:tblGrid>
      <w:tr w:rsidR="00D43AA6" w14:paraId="721D17A8" w14:textId="77777777" w:rsidTr="5542E2EB">
        <w:trPr>
          <w:trHeight w:val="455"/>
        </w:trPr>
        <w:tc>
          <w:tcPr>
            <w:tcW w:w="94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A7" w14:textId="490CEADC" w:rsidR="00D43AA6" w:rsidRDefault="0ABBA6AD" w:rsidP="3AB85012">
            <w:pPr>
              <w:pStyle w:val="Standard"/>
              <w:spacing w:after="120" w:line="266" w:lineRule="auto"/>
              <w:jc w:val="both"/>
              <w:rPr>
                <w:b/>
                <w:bCs/>
              </w:rPr>
            </w:pPr>
            <w:r w:rsidRPr="3AB85012">
              <w:rPr>
                <w:b/>
                <w:bCs/>
              </w:rPr>
              <w:t>Baseline Year:</w:t>
            </w:r>
            <w:r w:rsidR="0B32EBE7" w:rsidRPr="3AB85012">
              <w:rPr>
                <w:b/>
                <w:bCs/>
              </w:rPr>
              <w:t xml:space="preserve"> 202</w:t>
            </w:r>
            <w:r w:rsidR="7A33497C" w:rsidRPr="3AB85012">
              <w:rPr>
                <w:b/>
                <w:bCs/>
              </w:rPr>
              <w:t>4</w:t>
            </w:r>
          </w:p>
        </w:tc>
      </w:tr>
      <w:tr w:rsidR="00D43AA6" w14:paraId="721D17AA" w14:textId="77777777" w:rsidTr="5542E2EB">
        <w:trPr>
          <w:trHeight w:val="455"/>
        </w:trPr>
        <w:tc>
          <w:tcPr>
            <w:tcW w:w="94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A9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Additional details relating to the baseline emissions calculations.</w:t>
            </w:r>
          </w:p>
        </w:tc>
      </w:tr>
      <w:tr w:rsidR="00D43AA6" w14:paraId="721D17AD" w14:textId="77777777" w:rsidTr="5542E2EB">
        <w:trPr>
          <w:trHeight w:val="455"/>
        </w:trPr>
        <w:tc>
          <w:tcPr>
            <w:tcW w:w="94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F5D6" w14:textId="77777777" w:rsidR="00D43AA6" w:rsidRDefault="4FDBA2EA" w:rsidP="635E43F2">
            <w:pPr>
              <w:pStyle w:val="Standard"/>
              <w:spacing w:after="120" w:line="266" w:lineRule="auto"/>
            </w:pPr>
            <w:r>
              <w:t>W</w:t>
            </w:r>
            <w:r w:rsidR="00C553B3">
              <w:t>hil</w:t>
            </w:r>
            <w:r>
              <w:t xml:space="preserve">e </w:t>
            </w:r>
            <w:r w:rsidR="00A9782F">
              <w:t>we’</w:t>
            </w:r>
            <w:r>
              <w:t>ve</w:t>
            </w:r>
            <w:r w:rsidR="00B31735">
              <w:t xml:space="preserve"> been measuring emissions for scope 1 and scope 2 since 2021</w:t>
            </w:r>
            <w:r w:rsidR="00C553B3">
              <w:t>,</w:t>
            </w:r>
            <w:r w:rsidR="00A9782F">
              <w:t xml:space="preserve"> we began measur</w:t>
            </w:r>
            <w:r w:rsidR="00C570A8">
              <w:t>ing</w:t>
            </w:r>
            <w:r w:rsidR="00A9782F">
              <w:t xml:space="preserve"> scope 3 emissions in 2023.</w:t>
            </w:r>
            <w:r w:rsidR="00C553B3">
              <w:t xml:space="preserve"> </w:t>
            </w:r>
            <w:r w:rsidR="5F227B39" w:rsidRPr="635E43F2">
              <w:t>We are updating our baseline year to reflect wider work on scope 3 calculations and external assurance.</w:t>
            </w:r>
          </w:p>
          <w:p w14:paraId="721D17AC" w14:textId="69E978DE" w:rsidR="00BE03C3" w:rsidRDefault="00BE03C3" w:rsidP="635E43F2">
            <w:pPr>
              <w:pStyle w:val="Standard"/>
              <w:spacing w:after="120" w:line="266" w:lineRule="auto"/>
            </w:pPr>
            <w:r>
              <w:t xml:space="preserve">We use operational control to define our scope for this report: our operational boundary includes activities from our locations operating in the United Kingdom. </w:t>
            </w:r>
          </w:p>
        </w:tc>
      </w:tr>
      <w:tr w:rsidR="00D43AA6" w14:paraId="721D17AF" w14:textId="77777777" w:rsidTr="5542E2EB">
        <w:trPr>
          <w:trHeight w:val="455"/>
        </w:trPr>
        <w:tc>
          <w:tcPr>
            <w:tcW w:w="9450" w:type="dxa"/>
            <w:gridSpan w:val="2"/>
            <w:tcBorders>
              <w:bottom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AE" w14:textId="6E6F2E88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Baseline year emissions</w:t>
            </w:r>
            <w:r w:rsidR="00BE03C3">
              <w:rPr>
                <w:b/>
              </w:rPr>
              <w:t xml:space="preserve"> (2024)</w:t>
            </w:r>
            <w:r>
              <w:rPr>
                <w:b/>
              </w:rPr>
              <w:t>:</w:t>
            </w:r>
          </w:p>
        </w:tc>
      </w:tr>
      <w:tr w:rsidR="00D43AA6" w14:paraId="721D17B2" w14:textId="77777777" w:rsidTr="5542E2EB">
        <w:trPr>
          <w:trHeight w:val="740"/>
        </w:trPr>
        <w:tc>
          <w:tcPr>
            <w:tcW w:w="2130" w:type="dxa"/>
            <w:tcBorders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0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EMISSIONS</w:t>
            </w:r>
          </w:p>
        </w:tc>
        <w:tc>
          <w:tcPr>
            <w:tcW w:w="7320" w:type="dxa"/>
            <w:tcBorders>
              <w:lef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1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TOTAL (tCO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e)</w:t>
            </w:r>
          </w:p>
        </w:tc>
      </w:tr>
      <w:tr w:rsidR="00D43AA6" w14:paraId="721D17B5" w14:textId="77777777" w:rsidTr="5542E2EB">
        <w:trPr>
          <w:trHeight w:val="455"/>
        </w:trPr>
        <w:tc>
          <w:tcPr>
            <w:tcW w:w="2130" w:type="dxa"/>
            <w:tcBorders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3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Scope 1</w:t>
            </w:r>
          </w:p>
        </w:tc>
        <w:tc>
          <w:tcPr>
            <w:tcW w:w="7320" w:type="dxa"/>
            <w:tcBorders>
              <w:lef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4" w14:textId="491BB02B" w:rsidR="00D43AA6" w:rsidRPr="00210CFB" w:rsidRDefault="75594E85" w:rsidP="3AB85012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  <w:r w:rsidRPr="3AB85012">
              <w:rPr>
                <w:b/>
                <w:bCs/>
                <w:color w:val="000000" w:themeColor="text1"/>
              </w:rPr>
              <w:t>8,</w:t>
            </w:r>
            <w:r w:rsidR="00A772AC">
              <w:rPr>
                <w:b/>
                <w:bCs/>
                <w:color w:val="000000" w:themeColor="text1"/>
              </w:rPr>
              <w:t>649.22</w:t>
            </w:r>
          </w:p>
        </w:tc>
      </w:tr>
      <w:tr w:rsidR="00D43AA6" w14:paraId="721D17B8" w14:textId="77777777" w:rsidTr="5542E2EB">
        <w:trPr>
          <w:trHeight w:val="455"/>
        </w:trPr>
        <w:tc>
          <w:tcPr>
            <w:tcW w:w="2130" w:type="dxa"/>
            <w:tcBorders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6" w14:textId="0DEAD70F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Scope 2</w:t>
            </w:r>
            <w:r w:rsidR="00D479BD">
              <w:rPr>
                <w:b/>
              </w:rPr>
              <w:t xml:space="preserve"> (market-based)</w:t>
            </w:r>
          </w:p>
        </w:tc>
        <w:tc>
          <w:tcPr>
            <w:tcW w:w="7320" w:type="dxa"/>
            <w:tcBorders>
              <w:lef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7" w14:textId="46424400" w:rsidR="00D43AA6" w:rsidRPr="00210CFB" w:rsidRDefault="61E9F9AD" w:rsidP="3AB85012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  <w:r w:rsidRPr="3AB85012">
              <w:rPr>
                <w:b/>
                <w:bCs/>
                <w:color w:val="000000" w:themeColor="text1"/>
              </w:rPr>
              <w:t>24,</w:t>
            </w:r>
            <w:r w:rsidR="00A772AC">
              <w:rPr>
                <w:b/>
                <w:bCs/>
                <w:color w:val="000000" w:themeColor="text1"/>
              </w:rPr>
              <w:t>734.87</w:t>
            </w:r>
          </w:p>
        </w:tc>
      </w:tr>
      <w:tr w:rsidR="00C8714E" w14:paraId="36A48420" w14:textId="77777777" w:rsidTr="5542E2EB">
        <w:trPr>
          <w:trHeight w:val="455"/>
        </w:trPr>
        <w:tc>
          <w:tcPr>
            <w:tcW w:w="2130" w:type="dxa"/>
            <w:tcBorders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9DDE" w14:textId="21BA20FC" w:rsidR="00C8714E" w:rsidRDefault="00C8714E" w:rsidP="00C8714E">
            <w:pPr>
              <w:pStyle w:val="Standard"/>
              <w:spacing w:after="120" w:line="266" w:lineRule="auto"/>
              <w:jc w:val="both"/>
              <w:rPr>
                <w:b/>
              </w:rPr>
            </w:pPr>
            <w:r>
              <w:rPr>
                <w:b/>
              </w:rPr>
              <w:t>Scope 2 (location-based)</w:t>
            </w:r>
          </w:p>
        </w:tc>
        <w:tc>
          <w:tcPr>
            <w:tcW w:w="7320" w:type="dxa"/>
            <w:tcBorders>
              <w:lef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245B" w14:textId="5C8CD769" w:rsidR="00C8714E" w:rsidRPr="00E96CD2" w:rsidRDefault="00C8714E" w:rsidP="00C8714E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  <w:r w:rsidRPr="00E96CD2">
              <w:rPr>
                <w:b/>
                <w:bCs/>
                <w:color w:val="000000" w:themeColor="text1"/>
              </w:rPr>
              <w:t>11,216.34</w:t>
            </w:r>
          </w:p>
          <w:p w14:paraId="5AF2FB6E" w14:textId="77777777" w:rsidR="00C8714E" w:rsidRPr="3AB85012" w:rsidRDefault="00C8714E" w:rsidP="00C8714E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43AA6" w14:paraId="721D17BC" w14:textId="77777777" w:rsidTr="5542E2EB">
        <w:trPr>
          <w:trHeight w:val="585"/>
        </w:trPr>
        <w:tc>
          <w:tcPr>
            <w:tcW w:w="2130" w:type="dxa"/>
            <w:tcBorders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9" w14:textId="2D44E5DE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Scope 3</w:t>
            </w:r>
          </w:p>
          <w:p w14:paraId="721D17BA" w14:textId="274EB66F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  <w:sz w:val="18"/>
                <w:szCs w:val="18"/>
              </w:rPr>
              <w:t xml:space="preserve">(Included </w:t>
            </w:r>
            <w:r w:rsidR="00A9782F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ources)</w:t>
            </w:r>
          </w:p>
        </w:tc>
        <w:tc>
          <w:tcPr>
            <w:tcW w:w="7320" w:type="dxa"/>
            <w:tcBorders>
              <w:lef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0EB6" w14:textId="7737A0CB" w:rsidR="00B31735" w:rsidRDefault="315E628E" w:rsidP="3AB85012">
            <w:pPr>
              <w:pStyle w:val="Standard"/>
              <w:spacing w:after="120" w:line="266" w:lineRule="auto"/>
              <w:jc w:val="both"/>
              <w:rPr>
                <w:color w:val="000000" w:themeColor="text1"/>
              </w:rPr>
            </w:pPr>
            <w:r w:rsidRPr="3AB85012">
              <w:rPr>
                <w:b/>
                <w:bCs/>
                <w:color w:val="000000" w:themeColor="text1"/>
              </w:rPr>
              <w:t>16,</w:t>
            </w:r>
            <w:r w:rsidR="00A772AC">
              <w:rPr>
                <w:b/>
                <w:bCs/>
                <w:color w:val="000000" w:themeColor="text1"/>
              </w:rPr>
              <w:t>437.17</w:t>
            </w:r>
            <w:r w:rsidRPr="3AB85012">
              <w:rPr>
                <w:color w:val="000000" w:themeColor="text1"/>
              </w:rPr>
              <w:t xml:space="preserve"> </w:t>
            </w:r>
          </w:p>
          <w:p w14:paraId="6E8D6601" w14:textId="7EF9C0FB" w:rsidR="00360B2C" w:rsidRDefault="00DA18CD" w:rsidP="3AB85012">
            <w:pPr>
              <w:pStyle w:val="Standard"/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Comprised of:</w:t>
            </w:r>
          </w:p>
          <w:p w14:paraId="5F147DCE" w14:textId="77777777" w:rsidR="00DA18CD" w:rsidRPr="00DA18CD" w:rsidRDefault="00DA18CD" w:rsidP="00DA18CD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 w:rsidRPr="00DA18CD">
              <w:rPr>
                <w:color w:val="000000" w:themeColor="text1"/>
                <w:lang w:val="en-US"/>
              </w:rPr>
              <w:t>Fuel- and Energy Related Emissions</w:t>
            </w:r>
            <w:r>
              <w:rPr>
                <w:color w:val="000000" w:themeColor="text1"/>
                <w:lang w:val="en-US"/>
              </w:rPr>
              <w:t xml:space="preserve">: </w:t>
            </w:r>
            <w:r w:rsidRPr="00DA18CD">
              <w:rPr>
                <w:color w:val="000000" w:themeColor="text1"/>
              </w:rPr>
              <w:t>7,735.39</w:t>
            </w:r>
          </w:p>
          <w:p w14:paraId="71449A82" w14:textId="77777777" w:rsidR="00845948" w:rsidRPr="00845948" w:rsidRDefault="00845948" w:rsidP="00845948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 w:rsidRPr="00845948">
              <w:rPr>
                <w:color w:val="000000" w:themeColor="text1"/>
                <w:lang w:val="en-US"/>
              </w:rPr>
              <w:t>Upstream Transport and Distribution</w:t>
            </w:r>
            <w:r>
              <w:rPr>
                <w:color w:val="000000" w:themeColor="text1"/>
                <w:lang w:val="en-US"/>
              </w:rPr>
              <w:t xml:space="preserve">: </w:t>
            </w:r>
            <w:r w:rsidRPr="00845948">
              <w:rPr>
                <w:color w:val="000000" w:themeColor="text1"/>
              </w:rPr>
              <w:t>527.07</w:t>
            </w:r>
          </w:p>
          <w:p w14:paraId="16C3F9BB" w14:textId="77777777" w:rsidR="00845948" w:rsidRPr="00845948" w:rsidRDefault="00845948" w:rsidP="00845948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Waste: </w:t>
            </w:r>
            <w:r w:rsidRPr="00845948">
              <w:rPr>
                <w:color w:val="000000" w:themeColor="text1"/>
              </w:rPr>
              <w:t>410.91</w:t>
            </w:r>
          </w:p>
          <w:p w14:paraId="4AC215F5" w14:textId="0A4F2672" w:rsidR="00DA18CD" w:rsidRDefault="00845948" w:rsidP="00DA18CD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Business Travel (including hotel stays): </w:t>
            </w:r>
            <w:r w:rsidR="00557C11">
              <w:rPr>
                <w:color w:val="000000" w:themeColor="text1"/>
              </w:rPr>
              <w:t>2,277.03</w:t>
            </w:r>
          </w:p>
          <w:p w14:paraId="63853F2B" w14:textId="562A56DD" w:rsidR="00557C11" w:rsidRDefault="00557C11" w:rsidP="00DA18CD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Employee Commuting (including homeworking): 5,486.77</w:t>
            </w:r>
          </w:p>
          <w:p w14:paraId="260ACBE0" w14:textId="2AAA21F4" w:rsidR="00557C11" w:rsidRPr="00210CFB" w:rsidRDefault="00557C11" w:rsidP="005B60A4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Downstream Transportation and Distribution: 0.01</w:t>
            </w:r>
          </w:p>
          <w:p w14:paraId="721D17BB" w14:textId="396D3505" w:rsidR="00B31735" w:rsidRPr="00210CFB" w:rsidRDefault="00B31735">
            <w:pPr>
              <w:pStyle w:val="Standard"/>
              <w:spacing w:after="120" w:line="266" w:lineRule="auto"/>
              <w:jc w:val="both"/>
              <w:rPr>
                <w:color w:val="000000" w:themeColor="text1"/>
              </w:rPr>
            </w:pPr>
          </w:p>
        </w:tc>
      </w:tr>
      <w:tr w:rsidR="00D43AA6" w14:paraId="721D17BF" w14:textId="77777777" w:rsidTr="5542E2EB">
        <w:trPr>
          <w:trHeight w:val="585"/>
        </w:trPr>
        <w:tc>
          <w:tcPr>
            <w:tcW w:w="2130" w:type="dxa"/>
            <w:tcBorders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D" w14:textId="52908E61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 xml:space="preserve">Total </w:t>
            </w:r>
            <w:r w:rsidR="00A9782F">
              <w:rPr>
                <w:b/>
              </w:rPr>
              <w:t>e</w:t>
            </w:r>
            <w:r>
              <w:rPr>
                <w:b/>
              </w:rPr>
              <w:t>missions</w:t>
            </w:r>
          </w:p>
        </w:tc>
        <w:tc>
          <w:tcPr>
            <w:tcW w:w="7320" w:type="dxa"/>
            <w:tcBorders>
              <w:lef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BE" w14:textId="2C20820F" w:rsidR="00D43AA6" w:rsidRPr="00210CFB" w:rsidRDefault="087C92D4" w:rsidP="3AB85012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  <w:r w:rsidRPr="3AB85012">
              <w:rPr>
                <w:b/>
                <w:bCs/>
                <w:color w:val="000000" w:themeColor="text1"/>
              </w:rPr>
              <w:t>49,</w:t>
            </w:r>
            <w:r w:rsidR="00A772AC">
              <w:rPr>
                <w:b/>
                <w:bCs/>
                <w:color w:val="000000" w:themeColor="text1"/>
              </w:rPr>
              <w:t>821.27</w:t>
            </w:r>
          </w:p>
        </w:tc>
      </w:tr>
    </w:tbl>
    <w:p w14:paraId="0DFD2AF6" w14:textId="77777777" w:rsidR="005B60A4" w:rsidRDefault="005B60A4" w:rsidP="005B60A4"/>
    <w:p w14:paraId="140E1AD9" w14:textId="77777777" w:rsidR="005B60A4" w:rsidRDefault="005B60A4">
      <w:pPr>
        <w:widowControl w:val="0"/>
        <w:suppressAutoHyphens w:val="0"/>
        <w:rPr>
          <w:b/>
          <w:color w:val="002060"/>
          <w:sz w:val="28"/>
          <w:szCs w:val="28"/>
        </w:rPr>
      </w:pPr>
      <w:r>
        <w:br w:type="page"/>
      </w:r>
    </w:p>
    <w:p w14:paraId="721D17C2" w14:textId="4465E4FA" w:rsidR="00D43AA6" w:rsidRPr="00A47921" w:rsidRDefault="0094626C" w:rsidP="008B47CE">
      <w:pPr>
        <w:pStyle w:val="Heading1"/>
        <w:rPr>
          <w:bCs/>
        </w:rPr>
      </w:pPr>
      <w:r w:rsidRPr="00A47921">
        <w:lastRenderedPageBreak/>
        <w:t>Our current emissions reporting</w:t>
      </w: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7365"/>
      </w:tblGrid>
      <w:tr w:rsidR="00D43AA6" w14:paraId="721D17C4" w14:textId="77777777" w:rsidTr="102746EB">
        <w:trPr>
          <w:trHeight w:val="122"/>
        </w:trPr>
        <w:tc>
          <w:tcPr>
            <w:tcW w:w="94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808080" w:themeColor="background1" w:themeShade="80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C3" w14:textId="58B27B75" w:rsidR="00D43AA6" w:rsidRDefault="0094626C" w:rsidP="36AAD50E">
            <w:pPr>
              <w:pStyle w:val="Standard"/>
              <w:spacing w:after="120" w:line="266" w:lineRule="auto"/>
              <w:jc w:val="both"/>
              <w:rPr>
                <w:b/>
                <w:bCs/>
              </w:rPr>
            </w:pPr>
            <w:r w:rsidRPr="36AAD50E">
              <w:rPr>
                <w:b/>
                <w:bCs/>
              </w:rPr>
              <w:t>Reporting Year: 2</w:t>
            </w:r>
            <w:r w:rsidR="00A47921" w:rsidRPr="36AAD50E">
              <w:rPr>
                <w:b/>
                <w:bCs/>
              </w:rPr>
              <w:t>02</w:t>
            </w:r>
            <w:r w:rsidR="00AF5415" w:rsidRPr="36AAD50E">
              <w:rPr>
                <w:b/>
                <w:bCs/>
              </w:rPr>
              <w:t>4</w:t>
            </w:r>
          </w:p>
        </w:tc>
      </w:tr>
      <w:tr w:rsidR="00EE29FE" w14:paraId="25A115CD" w14:textId="77777777" w:rsidTr="102746EB">
        <w:trPr>
          <w:trHeight w:val="122"/>
        </w:trPr>
        <w:tc>
          <w:tcPr>
            <w:tcW w:w="94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808080" w:themeColor="background1" w:themeShade="80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C241" w14:textId="76C01E16" w:rsidR="00EE29FE" w:rsidRPr="36AAD50E" w:rsidRDefault="00EE29FE" w:rsidP="36AAD50E">
            <w:pPr>
              <w:pStyle w:val="Standard"/>
              <w:spacing w:after="120" w:line="266" w:lineRule="auto"/>
              <w:jc w:val="both"/>
              <w:rPr>
                <w:b/>
                <w:bCs/>
              </w:rPr>
            </w:pPr>
            <w:r>
              <w:rPr>
                <w:b/>
              </w:rPr>
              <w:t>Additional details relating to the 2024 emissions calculations.</w:t>
            </w:r>
          </w:p>
        </w:tc>
      </w:tr>
      <w:tr w:rsidR="00EE29FE" w14:paraId="04D63577" w14:textId="77777777" w:rsidTr="102746EB">
        <w:trPr>
          <w:trHeight w:val="122"/>
        </w:trPr>
        <w:tc>
          <w:tcPr>
            <w:tcW w:w="94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808080" w:themeColor="background1" w:themeShade="80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B977" w14:textId="372D5F60" w:rsidR="00EE29FE" w:rsidRDefault="00BE03C3" w:rsidP="36AAD50E">
            <w:pPr>
              <w:pStyle w:val="Standard"/>
              <w:spacing w:after="120" w:line="266" w:lineRule="auto"/>
              <w:jc w:val="both"/>
            </w:pPr>
            <w:r>
              <w:t xml:space="preserve"> We use operational control to define our scope for this report: our operational boundary includes activities from our locations operating in the United Kingdom.</w:t>
            </w:r>
          </w:p>
          <w:p w14:paraId="130368BF" w14:textId="04353A9B" w:rsidR="00BE03C3" w:rsidRPr="005B60A4" w:rsidRDefault="00502195" w:rsidP="36AAD50E">
            <w:pPr>
              <w:pStyle w:val="Standard"/>
              <w:spacing w:after="120" w:line="266" w:lineRule="auto"/>
              <w:jc w:val="both"/>
            </w:pPr>
            <w:r w:rsidRPr="005B60A4">
              <w:t>We applied the WRI/WBCSD Greenhouse Gas Protocol: Corporate Accounting and Reporting Standard (revised edition) and the WRI/WBCSD Greenhouse Gas Protocol: Corporate Value Chain (Scope 3) Accounting and Reporting Standard</w:t>
            </w:r>
            <w:r>
              <w:t>.</w:t>
            </w:r>
          </w:p>
        </w:tc>
      </w:tr>
      <w:tr w:rsidR="00D43AA6" w14:paraId="721D17C7" w14:textId="77777777" w:rsidTr="102746EB">
        <w:trPr>
          <w:trHeight w:val="740"/>
        </w:trPr>
        <w:tc>
          <w:tcPr>
            <w:tcW w:w="21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C5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EMISSIONS</w:t>
            </w:r>
          </w:p>
        </w:tc>
        <w:tc>
          <w:tcPr>
            <w:tcW w:w="73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C6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TOTAL (tCO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e)</w:t>
            </w:r>
          </w:p>
        </w:tc>
      </w:tr>
      <w:tr w:rsidR="00D43AA6" w14:paraId="721D17CA" w14:textId="77777777" w:rsidTr="102746EB">
        <w:trPr>
          <w:trHeight w:val="455"/>
        </w:trPr>
        <w:tc>
          <w:tcPr>
            <w:tcW w:w="21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C8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Scope 1</w:t>
            </w:r>
          </w:p>
        </w:tc>
        <w:tc>
          <w:tcPr>
            <w:tcW w:w="73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C9" w14:textId="5B90250F" w:rsidR="00D43AA6" w:rsidRPr="00210CFB" w:rsidRDefault="00A772AC" w:rsidP="36AAD50E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  <w:r w:rsidRPr="3AB85012">
              <w:rPr>
                <w:b/>
                <w:bCs/>
                <w:color w:val="000000" w:themeColor="text1"/>
              </w:rPr>
              <w:t>8,</w:t>
            </w:r>
            <w:r>
              <w:rPr>
                <w:b/>
                <w:bCs/>
                <w:color w:val="000000" w:themeColor="text1"/>
              </w:rPr>
              <w:t>649.22</w:t>
            </w:r>
            <w:r w:rsidR="00EA7BD6" w:rsidRPr="00B3013F">
              <w:rPr>
                <w:rFonts w:ascii="Cambria Math" w:hAnsi="Cambria Math" w:cs="Cambria Math"/>
                <w:bCs/>
                <w:sz w:val="16"/>
                <w:szCs w:val="16"/>
              </w:rPr>
              <w:t>△</w:t>
            </w:r>
          </w:p>
        </w:tc>
      </w:tr>
      <w:tr w:rsidR="00D43AA6" w14:paraId="721D17CD" w14:textId="77777777" w:rsidTr="102746EB">
        <w:trPr>
          <w:trHeight w:val="455"/>
        </w:trPr>
        <w:tc>
          <w:tcPr>
            <w:tcW w:w="21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CB" w14:textId="4877E15E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Scope 2</w:t>
            </w:r>
            <w:r w:rsidR="00D479BD">
              <w:rPr>
                <w:b/>
              </w:rPr>
              <w:t xml:space="preserve"> (market-based)</w:t>
            </w:r>
          </w:p>
        </w:tc>
        <w:tc>
          <w:tcPr>
            <w:tcW w:w="73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CC" w14:textId="5D9D717B" w:rsidR="00D43AA6" w:rsidRPr="00210CFB" w:rsidRDefault="00A772AC" w:rsidP="36AAD50E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  <w:r w:rsidRPr="3AB85012">
              <w:rPr>
                <w:b/>
                <w:bCs/>
                <w:color w:val="000000" w:themeColor="text1"/>
              </w:rPr>
              <w:t>24,</w:t>
            </w:r>
            <w:r>
              <w:rPr>
                <w:b/>
                <w:bCs/>
                <w:color w:val="000000" w:themeColor="text1"/>
              </w:rPr>
              <w:t>734.87</w:t>
            </w:r>
            <w:r w:rsidR="00EA7BD6" w:rsidRPr="00B3013F">
              <w:rPr>
                <w:rFonts w:ascii="Cambria Math" w:hAnsi="Cambria Math" w:cs="Cambria Math"/>
                <w:bCs/>
                <w:sz w:val="16"/>
                <w:szCs w:val="16"/>
              </w:rPr>
              <w:t>△</w:t>
            </w:r>
          </w:p>
        </w:tc>
      </w:tr>
      <w:tr w:rsidR="00E96CD2" w14:paraId="1C21EB43" w14:textId="77777777" w:rsidTr="102746EB">
        <w:trPr>
          <w:trHeight w:val="455"/>
        </w:trPr>
        <w:tc>
          <w:tcPr>
            <w:tcW w:w="21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676A" w14:textId="238ED2B4" w:rsidR="00E96CD2" w:rsidRDefault="00E96CD2">
            <w:pPr>
              <w:pStyle w:val="Standard"/>
              <w:spacing w:after="120" w:line="266" w:lineRule="auto"/>
              <w:jc w:val="both"/>
              <w:rPr>
                <w:b/>
              </w:rPr>
            </w:pPr>
            <w:r>
              <w:rPr>
                <w:b/>
              </w:rPr>
              <w:t>Scope 2 (location-based)</w:t>
            </w:r>
          </w:p>
        </w:tc>
        <w:tc>
          <w:tcPr>
            <w:tcW w:w="73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48A5" w14:textId="20AFEB80" w:rsidR="00E96CD2" w:rsidRPr="00E96CD2" w:rsidRDefault="00E96CD2" w:rsidP="00E96CD2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  <w:r w:rsidRPr="00E96CD2">
              <w:rPr>
                <w:b/>
                <w:bCs/>
                <w:color w:val="000000" w:themeColor="text1"/>
              </w:rPr>
              <w:t>11,216.34</w:t>
            </w:r>
            <w:r w:rsidRPr="00B3013F">
              <w:rPr>
                <w:rFonts w:ascii="Cambria Math" w:hAnsi="Cambria Math" w:cs="Cambria Math"/>
                <w:bCs/>
                <w:sz w:val="16"/>
                <w:szCs w:val="16"/>
              </w:rPr>
              <w:t>△</w:t>
            </w:r>
          </w:p>
          <w:p w14:paraId="1B3A06C1" w14:textId="77777777" w:rsidR="00E96CD2" w:rsidRPr="3AB85012" w:rsidRDefault="00E96CD2" w:rsidP="36AAD50E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43AA6" w14:paraId="721D17D1" w14:textId="77777777" w:rsidTr="102746EB">
        <w:trPr>
          <w:trHeight w:val="585"/>
        </w:trPr>
        <w:tc>
          <w:tcPr>
            <w:tcW w:w="21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CE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Scope 3</w:t>
            </w:r>
          </w:p>
          <w:p w14:paraId="721D17CF" w14:textId="77777777" w:rsidR="00D43AA6" w:rsidRDefault="0094626C">
            <w:pPr>
              <w:pStyle w:val="Standard"/>
              <w:spacing w:after="120" w:line="266" w:lineRule="auto"/>
              <w:jc w:val="both"/>
            </w:pPr>
            <w:r>
              <w:rPr>
                <w:b/>
                <w:sz w:val="18"/>
                <w:szCs w:val="18"/>
              </w:rPr>
              <w:t>(Included Sources)</w:t>
            </w:r>
          </w:p>
        </w:tc>
        <w:tc>
          <w:tcPr>
            <w:tcW w:w="73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10286" w14:textId="4CB66B67" w:rsidR="00A772AC" w:rsidRPr="00210CFB" w:rsidRDefault="5D429027" w:rsidP="00A772AC">
            <w:pPr>
              <w:pStyle w:val="Standard"/>
              <w:spacing w:after="120" w:line="266" w:lineRule="auto"/>
              <w:jc w:val="both"/>
              <w:rPr>
                <w:color w:val="000000" w:themeColor="text1"/>
              </w:rPr>
            </w:pPr>
            <w:r w:rsidRPr="102746EB">
              <w:rPr>
                <w:b/>
                <w:bCs/>
                <w:color w:val="000000" w:themeColor="text1"/>
              </w:rPr>
              <w:t xml:space="preserve"> </w:t>
            </w:r>
            <w:r w:rsidR="00A772AC" w:rsidRPr="3AB85012">
              <w:rPr>
                <w:b/>
                <w:bCs/>
                <w:color w:val="000000" w:themeColor="text1"/>
              </w:rPr>
              <w:t>16,</w:t>
            </w:r>
            <w:r w:rsidR="00A772AC">
              <w:rPr>
                <w:b/>
                <w:bCs/>
                <w:color w:val="000000" w:themeColor="text1"/>
              </w:rPr>
              <w:t>437.17</w:t>
            </w:r>
            <w:r w:rsidR="00EA7BD6" w:rsidRPr="00B3013F">
              <w:rPr>
                <w:rFonts w:ascii="Cambria Math" w:hAnsi="Cambria Math" w:cs="Cambria Math"/>
                <w:bCs/>
                <w:sz w:val="16"/>
                <w:szCs w:val="16"/>
              </w:rPr>
              <w:t>△</w:t>
            </w:r>
            <w:r w:rsidR="00EA7BD6" w:rsidRPr="00B3013F">
              <w:rPr>
                <w:bCs/>
                <w:sz w:val="16"/>
                <w:szCs w:val="16"/>
              </w:rPr>
              <w:t xml:space="preserve"> </w:t>
            </w:r>
            <w:r w:rsidR="00A772AC" w:rsidRPr="3AB85012">
              <w:rPr>
                <w:color w:val="000000" w:themeColor="text1"/>
              </w:rPr>
              <w:t xml:space="preserve"> </w:t>
            </w:r>
          </w:p>
          <w:p w14:paraId="347B11B6" w14:textId="77777777" w:rsidR="00557C11" w:rsidRDefault="00557C11" w:rsidP="00557C11">
            <w:pPr>
              <w:pStyle w:val="Standard"/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Comprised of:</w:t>
            </w:r>
          </w:p>
          <w:p w14:paraId="70635280" w14:textId="77777777" w:rsidR="00557C11" w:rsidRPr="00DA18CD" w:rsidRDefault="00557C11" w:rsidP="00557C11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 w:rsidRPr="00DA18CD">
              <w:rPr>
                <w:color w:val="000000" w:themeColor="text1"/>
                <w:lang w:val="en-US"/>
              </w:rPr>
              <w:t>Fuel- and Energy Related Emissions</w:t>
            </w:r>
            <w:r>
              <w:rPr>
                <w:color w:val="000000" w:themeColor="text1"/>
                <w:lang w:val="en-US"/>
              </w:rPr>
              <w:t xml:space="preserve">: </w:t>
            </w:r>
            <w:r w:rsidRPr="00DA18CD">
              <w:rPr>
                <w:color w:val="000000" w:themeColor="text1"/>
              </w:rPr>
              <w:t>7,735.39</w:t>
            </w:r>
          </w:p>
          <w:p w14:paraId="2D60DB1B" w14:textId="77777777" w:rsidR="00557C11" w:rsidRPr="00845948" w:rsidRDefault="00557C11" w:rsidP="00557C11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 w:rsidRPr="00845948">
              <w:rPr>
                <w:color w:val="000000" w:themeColor="text1"/>
                <w:lang w:val="en-US"/>
              </w:rPr>
              <w:t>Upstream Transport and Distribution</w:t>
            </w:r>
            <w:r>
              <w:rPr>
                <w:color w:val="000000" w:themeColor="text1"/>
                <w:lang w:val="en-US"/>
              </w:rPr>
              <w:t xml:space="preserve">: </w:t>
            </w:r>
            <w:r w:rsidRPr="00845948">
              <w:rPr>
                <w:color w:val="000000" w:themeColor="text1"/>
              </w:rPr>
              <w:t>527.07</w:t>
            </w:r>
          </w:p>
          <w:p w14:paraId="77C27625" w14:textId="77777777" w:rsidR="00557C11" w:rsidRPr="00845948" w:rsidRDefault="00557C11" w:rsidP="00557C11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Waste: </w:t>
            </w:r>
            <w:r w:rsidRPr="00845948">
              <w:rPr>
                <w:color w:val="000000" w:themeColor="text1"/>
              </w:rPr>
              <w:t>410.91</w:t>
            </w:r>
          </w:p>
          <w:p w14:paraId="7A3B5363" w14:textId="77777777" w:rsidR="00557C11" w:rsidRDefault="00557C11" w:rsidP="00557C11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Business Travel (including hotel stays): 2,277.03</w:t>
            </w:r>
          </w:p>
          <w:p w14:paraId="50FAF72C" w14:textId="77777777" w:rsidR="00557C11" w:rsidRDefault="00557C11" w:rsidP="00557C11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Employee Commuting (including homeworking): 5,486.77</w:t>
            </w:r>
          </w:p>
          <w:p w14:paraId="46E936B7" w14:textId="77777777" w:rsidR="00557C11" w:rsidRPr="00210CFB" w:rsidRDefault="00557C11" w:rsidP="00557C11">
            <w:pPr>
              <w:pStyle w:val="Standard"/>
              <w:numPr>
                <w:ilvl w:val="0"/>
                <w:numId w:val="13"/>
              </w:numPr>
              <w:spacing w:after="120" w:line="26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Downstream Transportation and Distribution: 0.01</w:t>
            </w:r>
          </w:p>
          <w:p w14:paraId="721D17D0" w14:textId="2F61BC0E" w:rsidR="00A47921" w:rsidRPr="00210CFB" w:rsidRDefault="00A47921" w:rsidP="00A772AC">
            <w:pPr>
              <w:pStyle w:val="Standard"/>
              <w:spacing w:after="120" w:line="266" w:lineRule="auto"/>
              <w:jc w:val="both"/>
              <w:rPr>
                <w:color w:val="000000" w:themeColor="text1"/>
              </w:rPr>
            </w:pPr>
          </w:p>
        </w:tc>
      </w:tr>
      <w:tr w:rsidR="00A772AC" w14:paraId="721D17D4" w14:textId="77777777" w:rsidTr="102746EB">
        <w:trPr>
          <w:trHeight w:val="585"/>
        </w:trPr>
        <w:tc>
          <w:tcPr>
            <w:tcW w:w="21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D2" w14:textId="27B51ABC" w:rsidR="00A772AC" w:rsidRDefault="00A772AC" w:rsidP="00A772AC">
            <w:pPr>
              <w:pStyle w:val="Standard"/>
              <w:spacing w:after="120" w:line="266" w:lineRule="auto"/>
              <w:jc w:val="both"/>
            </w:pPr>
            <w:r>
              <w:rPr>
                <w:b/>
              </w:rPr>
              <w:t>Total emissions</w:t>
            </w:r>
          </w:p>
        </w:tc>
        <w:tc>
          <w:tcPr>
            <w:tcW w:w="73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7D3" w14:textId="52934E4F" w:rsidR="00A772AC" w:rsidRPr="00210CFB" w:rsidRDefault="00A772AC" w:rsidP="00A772AC">
            <w:pPr>
              <w:pStyle w:val="Standard"/>
              <w:spacing w:after="120" w:line="266" w:lineRule="auto"/>
              <w:jc w:val="both"/>
              <w:rPr>
                <w:b/>
                <w:bCs/>
                <w:color w:val="000000" w:themeColor="text1"/>
              </w:rPr>
            </w:pPr>
            <w:r w:rsidRPr="3AB85012">
              <w:rPr>
                <w:b/>
                <w:bCs/>
                <w:color w:val="000000" w:themeColor="text1"/>
              </w:rPr>
              <w:t>49,</w:t>
            </w:r>
            <w:r>
              <w:rPr>
                <w:b/>
                <w:bCs/>
                <w:color w:val="000000" w:themeColor="text1"/>
              </w:rPr>
              <w:t>821.27</w:t>
            </w:r>
          </w:p>
        </w:tc>
      </w:tr>
    </w:tbl>
    <w:p w14:paraId="334D808D" w14:textId="129B876A" w:rsidR="00FF508C" w:rsidRPr="004B4E82" w:rsidRDefault="002C6916" w:rsidP="004B4E82">
      <w:pPr>
        <w:rPr>
          <w:color w:val="000000" w:themeColor="text1"/>
          <w:sz w:val="20"/>
          <w:szCs w:val="20"/>
        </w:rPr>
      </w:pPr>
      <w:bookmarkStart w:id="3" w:name="_heading=h.2et92p0"/>
      <w:bookmarkEnd w:id="3"/>
      <w:r w:rsidRPr="004B4E82">
        <w:rPr>
          <w:rFonts w:ascii="Cambria Math" w:hAnsi="Cambria Math" w:cs="Cambria Math"/>
          <w:sz w:val="14"/>
          <w:szCs w:val="14"/>
        </w:rPr>
        <w:t>△</w:t>
      </w:r>
      <w:r w:rsidRPr="004B4E82">
        <w:rPr>
          <w:sz w:val="14"/>
          <w:szCs w:val="14"/>
        </w:rPr>
        <w:t xml:space="preserve"> </w:t>
      </w:r>
      <w:r w:rsidR="00E4332F" w:rsidRPr="004B4E82">
        <w:rPr>
          <w:sz w:val="20"/>
          <w:szCs w:val="20"/>
        </w:rPr>
        <w:t xml:space="preserve">This indicates </w:t>
      </w:r>
      <w:r w:rsidR="00E4332F" w:rsidRPr="004B4E82">
        <w:rPr>
          <w:color w:val="000000" w:themeColor="text1"/>
          <w:sz w:val="20"/>
          <w:szCs w:val="20"/>
        </w:rPr>
        <w:t>that the data was subject to external independent limited</w:t>
      </w:r>
      <w:r w:rsidR="00EF0422" w:rsidRPr="004B4E82">
        <w:rPr>
          <w:color w:val="000000" w:themeColor="text1"/>
          <w:sz w:val="20"/>
          <w:szCs w:val="20"/>
        </w:rPr>
        <w:t xml:space="preserve"> assurance</w:t>
      </w:r>
      <w:r w:rsidR="00E4332F" w:rsidRPr="004B4E82">
        <w:rPr>
          <w:color w:val="000000" w:themeColor="text1"/>
          <w:sz w:val="20"/>
          <w:szCs w:val="20"/>
        </w:rPr>
        <w:t xml:space="preserve"> by Ernst &amp; Young LLP ('EY'). </w:t>
      </w:r>
      <w:r w:rsidR="00EF0422" w:rsidRPr="004B4E82">
        <w:rPr>
          <w:color w:val="000000" w:themeColor="text1"/>
          <w:sz w:val="20"/>
          <w:szCs w:val="20"/>
        </w:rPr>
        <w:t xml:space="preserve">See </w:t>
      </w:r>
      <w:hyperlink r:id="rId14" w:history="1">
        <w:r w:rsidR="004B4E82" w:rsidRPr="004B4E82">
          <w:rPr>
            <w:rStyle w:val="Hyperlink"/>
            <w:color w:val="000000" w:themeColor="text1"/>
            <w:sz w:val="20"/>
            <w:szCs w:val="20"/>
          </w:rPr>
          <w:t>https://www.hcahealthcare.co.uk/environmental-sustainability/reporting</w:t>
        </w:r>
      </w:hyperlink>
      <w:r w:rsidR="000E22CF" w:rsidRPr="004B4E82">
        <w:rPr>
          <w:color w:val="000000" w:themeColor="text1"/>
          <w:sz w:val="20"/>
          <w:szCs w:val="20"/>
        </w:rPr>
        <w:t xml:space="preserve"> </w:t>
      </w:r>
      <w:r w:rsidR="00EF0422" w:rsidRPr="004B4E82">
        <w:rPr>
          <w:color w:val="000000" w:themeColor="text1"/>
          <w:sz w:val="20"/>
          <w:szCs w:val="20"/>
        </w:rPr>
        <w:t>for EY’s assurance statement.</w:t>
      </w:r>
    </w:p>
    <w:p w14:paraId="359D96BD" w14:textId="75B7FB70" w:rsidR="5542E2EB" w:rsidRDefault="5542E2EB"/>
    <w:p w14:paraId="7C38D139" w14:textId="2BFD7A15" w:rsidR="3AB85012" w:rsidRDefault="3AB85012" w:rsidP="3AB85012">
      <w:pPr>
        <w:pStyle w:val="Standard"/>
      </w:pPr>
    </w:p>
    <w:p w14:paraId="255EE39E" w14:textId="444EF88B" w:rsidR="0098285E" w:rsidRDefault="0098285E">
      <w:pPr>
        <w:widowControl w:val="0"/>
        <w:suppressAutoHyphens w:val="0"/>
      </w:pPr>
      <w:r>
        <w:br w:type="page"/>
      </w:r>
    </w:p>
    <w:p w14:paraId="721D17D5" w14:textId="2A239D12" w:rsidR="00D43AA6" w:rsidRPr="008B47CE" w:rsidRDefault="0094626C" w:rsidP="008B47CE">
      <w:pPr>
        <w:pStyle w:val="Heading1"/>
      </w:pPr>
      <w:r w:rsidRPr="00A47921">
        <w:lastRenderedPageBreak/>
        <w:t xml:space="preserve">Our </w:t>
      </w:r>
      <w:r w:rsidRPr="008B47CE">
        <w:t>emissions reduction targets</w:t>
      </w:r>
    </w:p>
    <w:p w14:paraId="6E456ACB" w14:textId="4D37E131" w:rsidR="00C553B3" w:rsidRDefault="00C553B3" w:rsidP="00FF508C">
      <w:bookmarkStart w:id="4" w:name="_heading=h.tyjcwt"/>
      <w:bookmarkStart w:id="5" w:name="_heading=h.4d34og8"/>
      <w:bookmarkEnd w:id="4"/>
      <w:bookmarkEnd w:id="5"/>
      <w:r>
        <w:t>W</w:t>
      </w:r>
      <w:r w:rsidR="008B47CE">
        <w:t xml:space="preserve">e are </w:t>
      </w:r>
      <w:r w:rsidR="00196BCB">
        <w:t xml:space="preserve">working </w:t>
      </w:r>
      <w:r w:rsidR="008B47CE">
        <w:t xml:space="preserve">to </w:t>
      </w:r>
      <w:r w:rsidR="00A9782F">
        <w:t>achiev</w:t>
      </w:r>
      <w:r w:rsidR="00196BCB">
        <w:t>e</w:t>
      </w:r>
      <w:r w:rsidR="00A9782F">
        <w:t xml:space="preserve"> </w:t>
      </w:r>
      <w:r w:rsidR="008B47CE">
        <w:t>net zero</w:t>
      </w:r>
      <w:r w:rsidR="006F2601" w:rsidRPr="006F2601">
        <w:t xml:space="preserve"> </w:t>
      </w:r>
      <w:r w:rsidR="006F2601">
        <w:t>by 2035</w:t>
      </w:r>
      <w:r w:rsidR="008B47CE">
        <w:t xml:space="preserve"> for scope 1 and 2 emissions, and </w:t>
      </w:r>
      <w:r w:rsidR="00C570A8">
        <w:t xml:space="preserve">by 2045 </w:t>
      </w:r>
      <w:r w:rsidR="008B47CE">
        <w:t>for scope 3</w:t>
      </w:r>
      <w:r w:rsidR="00295D1D">
        <w:t xml:space="preserve"> emissions</w:t>
      </w:r>
      <w:r w:rsidR="0094626C">
        <w:t>.</w:t>
      </w:r>
      <w:bookmarkStart w:id="6" w:name="_heading=h.2s8eyo1"/>
      <w:bookmarkEnd w:id="6"/>
      <w:r w:rsidR="00FF508C">
        <w:t xml:space="preserve"> </w:t>
      </w:r>
    </w:p>
    <w:p w14:paraId="55E611A9" w14:textId="77777777" w:rsidR="00C553B3" w:rsidRDefault="00C553B3" w:rsidP="00FF508C"/>
    <w:p w14:paraId="721D17DA" w14:textId="5378254C" w:rsidR="00D43AA6" w:rsidRDefault="00BE2745" w:rsidP="00BE2745">
      <w:r>
        <w:t xml:space="preserve">In the short term, </w:t>
      </w:r>
      <w:r w:rsidR="00CD3988">
        <w:t>we’</w:t>
      </w:r>
      <w:r w:rsidR="00A9782F">
        <w:t>re</w:t>
      </w:r>
      <w:r>
        <w:t xml:space="preserve"> pursuing a plan to reduce </w:t>
      </w:r>
      <w:r w:rsidR="00A9782F">
        <w:t>our</w:t>
      </w:r>
      <w:r>
        <w:t xml:space="preserve"> </w:t>
      </w:r>
      <w:r w:rsidR="00A9782F">
        <w:t>s</w:t>
      </w:r>
      <w:r>
        <w:t xml:space="preserve">cope 1 and 2 emissions </w:t>
      </w:r>
      <w:r w:rsidR="00C8714E">
        <w:t>by 50%</w:t>
      </w:r>
      <w:r w:rsidR="004D60D7" w:rsidRPr="004D60D7">
        <w:t xml:space="preserve"> </w:t>
      </w:r>
      <w:r w:rsidR="004D60D7">
        <w:t>by 2030</w:t>
      </w:r>
      <w:r w:rsidR="00086694">
        <w:t>. We’re also</w:t>
      </w:r>
      <w:r w:rsidR="008C46F8">
        <w:t xml:space="preserve"> develop</w:t>
      </w:r>
      <w:r w:rsidR="00086694">
        <w:t>ing</w:t>
      </w:r>
      <w:r w:rsidR="008C46F8">
        <w:t xml:space="preserve"> our understanding of </w:t>
      </w:r>
      <w:r w:rsidR="00086694">
        <w:t xml:space="preserve">our </w:t>
      </w:r>
      <w:r w:rsidR="008C46F8">
        <w:t>scope 3 emissions</w:t>
      </w:r>
      <w:r w:rsidR="00C553B3">
        <w:t xml:space="preserve"> so that we can</w:t>
      </w:r>
      <w:r w:rsidR="008C46F8">
        <w:t xml:space="preserve"> make</w:t>
      </w:r>
      <w:r w:rsidR="00086694" w:rsidRPr="00086694">
        <w:t xml:space="preserve"> </w:t>
      </w:r>
      <w:r w:rsidR="00086694">
        <w:t>meaningful,</w:t>
      </w:r>
      <w:r w:rsidR="008C46F8">
        <w:t xml:space="preserve"> </w:t>
      </w:r>
      <w:r w:rsidR="00C553B3">
        <w:t>data-driven</w:t>
      </w:r>
      <w:r w:rsidR="008C46F8">
        <w:t xml:space="preserve"> reductions </w:t>
      </w:r>
      <w:r w:rsidR="006A7B72">
        <w:t>where clinically safe</w:t>
      </w:r>
      <w:r w:rsidR="000F2D16">
        <w:t xml:space="preserve"> and fiscally prudent</w:t>
      </w:r>
      <w:r w:rsidR="006A7B72">
        <w:t xml:space="preserve"> to do so</w:t>
      </w:r>
      <w:r w:rsidR="00FF508C">
        <w:t xml:space="preserve">. </w:t>
      </w:r>
    </w:p>
    <w:p w14:paraId="1EEC7CBF" w14:textId="77777777" w:rsidR="008B47CE" w:rsidRDefault="008B47CE" w:rsidP="00FF508C"/>
    <w:p w14:paraId="721D17EB" w14:textId="77777777" w:rsidR="00D43AA6" w:rsidRPr="004E7E1D" w:rsidRDefault="0094626C" w:rsidP="008B47CE">
      <w:pPr>
        <w:pStyle w:val="Heading1"/>
      </w:pPr>
      <w:bookmarkStart w:id="7" w:name="_heading=h.17dp8vu"/>
      <w:bookmarkStart w:id="8" w:name="_heading=h.1y810tw"/>
      <w:bookmarkStart w:id="9" w:name="_heading=h.4i7ojhp"/>
      <w:bookmarkStart w:id="10" w:name="_heading=h.2xcytpi"/>
      <w:bookmarkStart w:id="11" w:name="_heading=h.1ci93xb"/>
      <w:bookmarkStart w:id="12" w:name="_heading=h.3whwml4"/>
      <w:bookmarkStart w:id="13" w:name="_heading=h.qsh70q"/>
      <w:bookmarkEnd w:id="7"/>
      <w:bookmarkEnd w:id="8"/>
      <w:bookmarkEnd w:id="9"/>
      <w:bookmarkEnd w:id="10"/>
      <w:bookmarkEnd w:id="11"/>
      <w:bookmarkEnd w:id="12"/>
      <w:bookmarkEnd w:id="13"/>
      <w:r w:rsidRPr="004E7E1D">
        <w:t>Our carbon reduction projects</w:t>
      </w:r>
    </w:p>
    <w:p w14:paraId="3336A620" w14:textId="46F2CBE8" w:rsidR="004E7E1D" w:rsidRPr="004E7E1D" w:rsidRDefault="004E7E1D">
      <w:pPr>
        <w:pStyle w:val="Standard"/>
        <w:spacing w:after="140" w:line="266" w:lineRule="auto"/>
        <w:rPr>
          <w:b/>
          <w:color w:val="000000" w:themeColor="text1"/>
        </w:rPr>
      </w:pPr>
      <w:bookmarkStart w:id="14" w:name="_heading=h.3as4poj"/>
      <w:bookmarkEnd w:id="14"/>
      <w:r w:rsidRPr="004E7E1D">
        <w:rPr>
          <w:b/>
          <w:color w:val="000000" w:themeColor="text1"/>
        </w:rPr>
        <w:t>Completed carbon reduction initiatives</w:t>
      </w:r>
    </w:p>
    <w:p w14:paraId="6D7C657B" w14:textId="63875DBA" w:rsidR="00086694" w:rsidRDefault="00086694">
      <w:pPr>
        <w:pStyle w:val="Standard"/>
        <w:spacing w:after="140" w:line="266" w:lineRule="auto"/>
        <w:rPr>
          <w:color w:val="000000" w:themeColor="text1"/>
        </w:rPr>
      </w:pPr>
      <w:r>
        <w:rPr>
          <w:color w:val="000000" w:themeColor="text1"/>
        </w:rPr>
        <w:t>Throughout 2024, we worked alongside our clinical teams to complete or implement a range of environmental management measures, including:</w:t>
      </w:r>
    </w:p>
    <w:p w14:paraId="6DD89FAA" w14:textId="5B9FE058" w:rsidR="006B23BE" w:rsidRDefault="006B23BE" w:rsidP="006B23BE">
      <w:pPr>
        <w:pStyle w:val="Standard"/>
        <w:numPr>
          <w:ilvl w:val="0"/>
          <w:numId w:val="9"/>
        </w:numPr>
        <w:spacing w:after="140" w:line="266" w:lineRule="auto"/>
        <w:rPr>
          <w:color w:val="000000" w:themeColor="text1"/>
        </w:rPr>
      </w:pPr>
      <w:r w:rsidRPr="006B23BE">
        <w:rPr>
          <w:color w:val="000000" w:themeColor="text1"/>
        </w:rPr>
        <w:t xml:space="preserve">In January 2024, we stopped buying </w:t>
      </w:r>
      <w:r w:rsidR="00086694">
        <w:rPr>
          <w:color w:val="000000" w:themeColor="text1"/>
        </w:rPr>
        <w:t>d</w:t>
      </w:r>
      <w:r w:rsidRPr="006B23BE">
        <w:rPr>
          <w:color w:val="000000" w:themeColor="text1"/>
        </w:rPr>
        <w:t xml:space="preserve">esflurane, a volatile surgical anaesthetic gas associated with high greenhouse gas emissions </w:t>
      </w:r>
    </w:p>
    <w:p w14:paraId="557639F2" w14:textId="0B519BB7" w:rsidR="006B23BE" w:rsidRDefault="007A2E0D" w:rsidP="007531AD">
      <w:pPr>
        <w:pStyle w:val="Standard"/>
        <w:numPr>
          <w:ilvl w:val="0"/>
          <w:numId w:val="9"/>
        </w:numPr>
        <w:spacing w:after="140" w:line="240" w:lineRule="auto"/>
        <w:rPr>
          <w:color w:val="000000" w:themeColor="text1"/>
        </w:rPr>
      </w:pPr>
      <w:r w:rsidRPr="064EF674">
        <w:rPr>
          <w:color w:val="000000" w:themeColor="text1"/>
        </w:rPr>
        <w:t xml:space="preserve">Our primary care team achieved a Gold </w:t>
      </w:r>
      <w:r>
        <w:rPr>
          <w:color w:val="000000" w:themeColor="text1"/>
        </w:rPr>
        <w:t>C</w:t>
      </w:r>
      <w:r w:rsidRPr="064EF674">
        <w:rPr>
          <w:color w:val="000000" w:themeColor="text1"/>
        </w:rPr>
        <w:t>ertification from the Green Impact for Health Toolkit</w:t>
      </w:r>
      <w:r>
        <w:rPr>
          <w:color w:val="000000" w:themeColor="text1"/>
        </w:rPr>
        <w:t>.</w:t>
      </w:r>
      <w:r w:rsidR="005B2466">
        <w:rPr>
          <w:color w:val="000000" w:themeColor="text1"/>
        </w:rPr>
        <w:t xml:space="preserve"> In primary care, we also</w:t>
      </w:r>
      <w:r w:rsidR="63DAE536" w:rsidRPr="6AF72914">
        <w:rPr>
          <w:color w:val="000000" w:themeColor="text1"/>
        </w:rPr>
        <w:t xml:space="preserve"> </w:t>
      </w:r>
      <w:r w:rsidR="1D579255" w:rsidRPr="6AF72914">
        <w:rPr>
          <w:color w:val="000000" w:themeColor="text1"/>
        </w:rPr>
        <w:t>drove</w:t>
      </w:r>
      <w:r w:rsidR="63DAE536" w:rsidRPr="6AF72914">
        <w:rPr>
          <w:color w:val="000000" w:themeColor="text1"/>
        </w:rPr>
        <w:t xml:space="preserve"> a campaign to prescribe low-carbon inhalers</w:t>
      </w:r>
      <w:r w:rsidR="663F79BA" w:rsidRPr="6AF72914">
        <w:rPr>
          <w:color w:val="000000" w:themeColor="text1"/>
        </w:rPr>
        <w:t xml:space="preserve"> where clinically appropriate,</w:t>
      </w:r>
      <w:r w:rsidR="63DAE536" w:rsidRPr="6AF72914">
        <w:rPr>
          <w:color w:val="000000" w:themeColor="text1"/>
        </w:rPr>
        <w:t xml:space="preserve"> achiev</w:t>
      </w:r>
      <w:r w:rsidR="60CBF9B7" w:rsidRPr="6AF72914">
        <w:rPr>
          <w:color w:val="000000" w:themeColor="text1"/>
        </w:rPr>
        <w:t>ing</w:t>
      </w:r>
      <w:r w:rsidR="63DAE536" w:rsidRPr="6AF72914">
        <w:rPr>
          <w:color w:val="000000" w:themeColor="text1"/>
        </w:rPr>
        <w:t xml:space="preserve"> a rate of 48% dry powder inhaler</w:t>
      </w:r>
      <w:r w:rsidR="00631626" w:rsidRPr="6AF72914">
        <w:rPr>
          <w:color w:val="000000" w:themeColor="text1"/>
        </w:rPr>
        <w:t xml:space="preserve"> uptake</w:t>
      </w:r>
      <w:r w:rsidR="63DAE536" w:rsidRPr="6AF72914">
        <w:rPr>
          <w:color w:val="000000" w:themeColor="text1"/>
        </w:rPr>
        <w:t xml:space="preserve"> in Q3 of 2024, an increase of </w:t>
      </w:r>
      <w:r w:rsidR="5AD2F462" w:rsidRPr="6AF72914">
        <w:rPr>
          <w:color w:val="000000" w:themeColor="text1"/>
        </w:rPr>
        <w:t>11%</w:t>
      </w:r>
      <w:r w:rsidR="63DAE536" w:rsidRPr="6AF72914">
        <w:rPr>
          <w:color w:val="000000" w:themeColor="text1"/>
        </w:rPr>
        <w:t xml:space="preserve"> on 2023</w:t>
      </w:r>
    </w:p>
    <w:p w14:paraId="713F8E65" w14:textId="13D466AC" w:rsidR="006B23BE" w:rsidRDefault="63DAE536" w:rsidP="064EF674">
      <w:pPr>
        <w:pStyle w:val="Standard"/>
        <w:numPr>
          <w:ilvl w:val="0"/>
          <w:numId w:val="9"/>
        </w:numPr>
        <w:spacing w:after="140" w:line="240" w:lineRule="auto"/>
        <w:rPr>
          <w:color w:val="000000" w:themeColor="text1"/>
        </w:rPr>
      </w:pPr>
      <w:r w:rsidRPr="064EF674">
        <w:rPr>
          <w:color w:val="000000" w:themeColor="text1"/>
        </w:rPr>
        <w:t xml:space="preserve">We launched pilots </w:t>
      </w:r>
      <w:r w:rsidR="5301DA7E" w:rsidRPr="064EF674">
        <w:rPr>
          <w:color w:val="000000" w:themeColor="text1"/>
        </w:rPr>
        <w:t>to reduce</w:t>
      </w:r>
      <w:r w:rsidR="00086694">
        <w:rPr>
          <w:color w:val="000000" w:themeColor="text1"/>
        </w:rPr>
        <w:t xml:space="preserve"> our</w:t>
      </w:r>
      <w:r w:rsidR="5301DA7E" w:rsidRPr="064EF674">
        <w:rPr>
          <w:color w:val="000000" w:themeColor="text1"/>
        </w:rPr>
        <w:t xml:space="preserve"> clinical consumables</w:t>
      </w:r>
      <w:r w:rsidR="004D12DC">
        <w:rPr>
          <w:color w:val="000000" w:themeColor="text1"/>
        </w:rPr>
        <w:t xml:space="preserve"> where clinically safe</w:t>
      </w:r>
      <w:r w:rsidR="006C07D7">
        <w:rPr>
          <w:color w:val="000000" w:themeColor="text1"/>
        </w:rPr>
        <w:t xml:space="preserve"> to do so</w:t>
      </w:r>
      <w:r w:rsidR="5301DA7E" w:rsidRPr="064EF674">
        <w:rPr>
          <w:color w:val="000000" w:themeColor="text1"/>
        </w:rPr>
        <w:t>, including:</w:t>
      </w:r>
    </w:p>
    <w:p w14:paraId="612025FA" w14:textId="2C0DE4B3" w:rsidR="00FB43BB" w:rsidRDefault="00086694" w:rsidP="0083434A">
      <w:pPr>
        <w:pStyle w:val="Standard"/>
        <w:numPr>
          <w:ilvl w:val="1"/>
          <w:numId w:val="9"/>
        </w:numPr>
        <w:spacing w:line="240" w:lineRule="auto"/>
        <w:ind w:left="1434" w:hanging="357"/>
        <w:rPr>
          <w:color w:val="000000" w:themeColor="text1"/>
        </w:rPr>
      </w:pPr>
      <w:r>
        <w:rPr>
          <w:color w:val="000000" w:themeColor="text1"/>
        </w:rPr>
        <w:t>Introducing r</w:t>
      </w:r>
      <w:r w:rsidR="5301DA7E" w:rsidRPr="064EF674">
        <w:rPr>
          <w:color w:val="000000" w:themeColor="text1"/>
        </w:rPr>
        <w:t>eusable theatre caps</w:t>
      </w:r>
    </w:p>
    <w:p w14:paraId="56660188" w14:textId="2B143DDD" w:rsidR="00FB43BB" w:rsidRDefault="00086694" w:rsidP="0083434A">
      <w:pPr>
        <w:pStyle w:val="Standard"/>
        <w:numPr>
          <w:ilvl w:val="1"/>
          <w:numId w:val="9"/>
        </w:numPr>
        <w:spacing w:line="240" w:lineRule="auto"/>
        <w:ind w:left="1434" w:hanging="357"/>
        <w:rPr>
          <w:color w:val="000000" w:themeColor="text1"/>
        </w:rPr>
      </w:pPr>
      <w:r>
        <w:rPr>
          <w:color w:val="000000" w:themeColor="text1"/>
        </w:rPr>
        <w:t>Reducing our paper couch roll usage</w:t>
      </w:r>
    </w:p>
    <w:p w14:paraId="4BF3310C" w14:textId="0330F9FC" w:rsidR="00FB43BB" w:rsidRDefault="00086694" w:rsidP="0083434A">
      <w:pPr>
        <w:pStyle w:val="Standard"/>
        <w:numPr>
          <w:ilvl w:val="1"/>
          <w:numId w:val="9"/>
        </w:numPr>
        <w:spacing w:line="240" w:lineRule="auto"/>
        <w:ind w:left="1434" w:hanging="357"/>
        <w:rPr>
          <w:color w:val="000000" w:themeColor="text1"/>
        </w:rPr>
      </w:pPr>
      <w:r>
        <w:rPr>
          <w:color w:val="000000" w:themeColor="text1"/>
        </w:rPr>
        <w:t>Reducing our glove usage</w:t>
      </w:r>
    </w:p>
    <w:p w14:paraId="2DE03F12" w14:textId="30843412" w:rsidR="00925FDC" w:rsidRPr="002E3823" w:rsidRDefault="00086694" w:rsidP="0083434A">
      <w:pPr>
        <w:pStyle w:val="Standard"/>
        <w:numPr>
          <w:ilvl w:val="1"/>
          <w:numId w:val="9"/>
        </w:numPr>
        <w:spacing w:line="240" w:lineRule="auto"/>
        <w:ind w:left="1434" w:hanging="357"/>
        <w:rPr>
          <w:color w:val="000000" w:themeColor="text1"/>
        </w:rPr>
      </w:pPr>
      <w:r>
        <w:rPr>
          <w:color w:val="000000" w:themeColor="text1"/>
        </w:rPr>
        <w:t>Introducing r</w:t>
      </w:r>
      <w:r w:rsidR="1E36D1CA" w:rsidRPr="064EF674">
        <w:rPr>
          <w:color w:val="000000" w:themeColor="text1"/>
        </w:rPr>
        <w:t>eusable blood pressure cuffs</w:t>
      </w:r>
    </w:p>
    <w:p w14:paraId="2E1BEA7F" w14:textId="581D8D7A" w:rsidR="006B23BE" w:rsidRDefault="006B23BE" w:rsidP="064EF674">
      <w:pPr>
        <w:pStyle w:val="Standard"/>
        <w:spacing w:line="242" w:lineRule="auto"/>
        <w:ind w:left="720"/>
      </w:pPr>
    </w:p>
    <w:p w14:paraId="44B6ADE8" w14:textId="3887E740" w:rsidR="00086694" w:rsidRPr="002E3823" w:rsidRDefault="002D4504" w:rsidP="064EF674">
      <w:r>
        <w:t>We</w:t>
      </w:r>
      <w:r w:rsidR="00086694">
        <w:t xml:space="preserve"> ran a programme to improve our waste </w:t>
      </w:r>
      <w:r>
        <w:t xml:space="preserve">segregation and </w:t>
      </w:r>
      <w:r w:rsidR="00086694">
        <w:t>management, which included:</w:t>
      </w:r>
    </w:p>
    <w:p w14:paraId="359AD634" w14:textId="61D0E651" w:rsidR="00EF2D6A" w:rsidRDefault="12309542" w:rsidP="064EF674">
      <w:pPr>
        <w:pStyle w:val="ListParagraph"/>
        <w:numPr>
          <w:ilvl w:val="0"/>
          <w:numId w:val="7"/>
        </w:numPr>
      </w:pPr>
      <w:r w:rsidRPr="064EF674">
        <w:t>Achiev</w:t>
      </w:r>
      <w:r w:rsidR="00086694">
        <w:t>ing</w:t>
      </w:r>
      <w:r w:rsidRPr="064EF674">
        <w:t xml:space="preserve"> improved ‘offensive waste’ segregation and adherence to the National Clinical Waste segregation targets set for the NHS by 2026, which saved over 107 tonnes of CO2e</w:t>
      </w:r>
    </w:p>
    <w:p w14:paraId="07F5C1CD" w14:textId="569609B5" w:rsidR="002F24C7" w:rsidRDefault="00086694" w:rsidP="064EF674">
      <w:pPr>
        <w:pStyle w:val="Standard"/>
        <w:numPr>
          <w:ilvl w:val="0"/>
          <w:numId w:val="7"/>
        </w:numPr>
        <w:spacing w:line="242" w:lineRule="auto"/>
      </w:pPr>
      <w:r>
        <w:t>Rolling</w:t>
      </w:r>
      <w:r w:rsidR="673B1CBD">
        <w:t xml:space="preserve"> out </w:t>
      </w:r>
      <w:r w:rsidR="7D85D382">
        <w:t xml:space="preserve">additional recycling infrastructure across our hospitals, improving </w:t>
      </w:r>
      <w:r w:rsidR="00F742A3">
        <w:t xml:space="preserve">non-clinical </w:t>
      </w:r>
      <w:r w:rsidR="7D85D382">
        <w:t xml:space="preserve">recycling rates </w:t>
      </w:r>
      <w:r w:rsidR="00D04037">
        <w:t>by 1</w:t>
      </w:r>
      <w:r w:rsidR="00F742A3">
        <w:t>4%</w:t>
      </w:r>
    </w:p>
    <w:p w14:paraId="5E7A31E9" w14:textId="2B482E27" w:rsidR="00631626" w:rsidRDefault="00631626" w:rsidP="6AF72914">
      <w:pPr>
        <w:pStyle w:val="Standard"/>
        <w:numPr>
          <w:ilvl w:val="0"/>
          <w:numId w:val="7"/>
        </w:numPr>
        <w:spacing w:line="242" w:lineRule="auto"/>
      </w:pPr>
      <w:r>
        <w:t>Undertaking</w:t>
      </w:r>
      <w:r w:rsidR="52C1D3DB">
        <w:t xml:space="preserve"> initiatives to reduce what gets thrown away, </w:t>
      </w:r>
      <w:r>
        <w:t xml:space="preserve">such as </w:t>
      </w:r>
      <w:r w:rsidR="52C1D3DB">
        <w:t xml:space="preserve">reducing </w:t>
      </w:r>
      <w:r w:rsidR="2B6767AC">
        <w:t>single use items in catering and housekeeping</w:t>
      </w:r>
    </w:p>
    <w:p w14:paraId="70B5CFAC" w14:textId="77777777" w:rsidR="002E3823" w:rsidRDefault="002E3823" w:rsidP="064EF674">
      <w:pPr>
        <w:pStyle w:val="Standard"/>
        <w:spacing w:line="242" w:lineRule="auto"/>
      </w:pPr>
    </w:p>
    <w:p w14:paraId="25EC6C73" w14:textId="13C70AA3" w:rsidR="064EF674" w:rsidRDefault="064EF674" w:rsidP="064EF674">
      <w:pPr>
        <w:pStyle w:val="Standard"/>
        <w:spacing w:line="242" w:lineRule="auto"/>
      </w:pPr>
    </w:p>
    <w:p w14:paraId="51A3B8F8" w14:textId="29BE36AE" w:rsidR="0074461C" w:rsidRPr="002E3823" w:rsidRDefault="6D623F92" w:rsidP="064EF674">
      <w:r w:rsidRPr="064EF674">
        <w:t>In our buildings, we:</w:t>
      </w:r>
    </w:p>
    <w:p w14:paraId="6BC1BF11" w14:textId="3FE45DAE" w:rsidR="00BF2A64" w:rsidRDefault="007CCF76" w:rsidP="004A50C0">
      <w:pPr>
        <w:pStyle w:val="ListParagraph"/>
        <w:numPr>
          <w:ilvl w:val="0"/>
          <w:numId w:val="7"/>
        </w:numPr>
      </w:pPr>
      <w:r w:rsidRPr="064EF674">
        <w:t xml:space="preserve">Ran two net zero building audits and </w:t>
      </w:r>
      <w:r w:rsidR="7E8F7067" w:rsidRPr="064EF674">
        <w:t xml:space="preserve">several additional </w:t>
      </w:r>
      <w:r w:rsidR="00A81749">
        <w:t>Energy Savings Opportunity Scheme (</w:t>
      </w:r>
      <w:r w:rsidR="7E8F7067" w:rsidRPr="064EF674">
        <w:t>ESOS</w:t>
      </w:r>
      <w:r w:rsidR="00A81749">
        <w:t>)</w:t>
      </w:r>
      <w:r w:rsidR="7E8F7067" w:rsidRPr="064EF674">
        <w:t xml:space="preserve"> audits to understand our long-term plan for </w:t>
      </w:r>
      <w:r w:rsidR="004A50C0">
        <w:t xml:space="preserve">our </w:t>
      </w:r>
      <w:r w:rsidR="7E8F7067" w:rsidRPr="064EF674">
        <w:t>buildings</w:t>
      </w:r>
      <w:r w:rsidR="004A50C0">
        <w:t xml:space="preserve"> and c</w:t>
      </w:r>
      <w:r w:rsidR="004A50C0" w:rsidRPr="064EF674">
        <w:t>onducted our first embodied carbon assessment</w:t>
      </w:r>
    </w:p>
    <w:p w14:paraId="6A68C15C" w14:textId="350E73D0" w:rsidR="0074461C" w:rsidRDefault="6D623F92" w:rsidP="064EF674">
      <w:pPr>
        <w:pStyle w:val="ListParagraph"/>
        <w:numPr>
          <w:ilvl w:val="0"/>
          <w:numId w:val="7"/>
        </w:numPr>
      </w:pPr>
      <w:r>
        <w:t>Upgraded our eligible chillers, reduc</w:t>
      </w:r>
      <w:r w:rsidR="00271A42">
        <w:t>ing</w:t>
      </w:r>
      <w:r>
        <w:t xml:space="preserve"> their energy consumption by </w:t>
      </w:r>
      <w:r w:rsidR="7B8BFA3E">
        <w:t xml:space="preserve">approximately </w:t>
      </w:r>
      <w:r>
        <w:t>25%</w:t>
      </w:r>
    </w:p>
    <w:p w14:paraId="40683708" w14:textId="761B6B4C" w:rsidR="0074461C" w:rsidRDefault="6D623F92" w:rsidP="064EF674">
      <w:pPr>
        <w:pStyle w:val="ListParagraph"/>
        <w:numPr>
          <w:ilvl w:val="0"/>
          <w:numId w:val="7"/>
        </w:numPr>
      </w:pPr>
      <w:r w:rsidRPr="064EF674">
        <w:t xml:space="preserve">Our new buildings </w:t>
      </w:r>
      <w:r w:rsidR="5BC3C8D3" w:rsidRPr="064EF674">
        <w:t xml:space="preserve">and </w:t>
      </w:r>
      <w:r w:rsidR="3824CC1B" w:rsidRPr="064EF674">
        <w:t>retrofits</w:t>
      </w:r>
      <w:r w:rsidR="5BC3C8D3" w:rsidRPr="064EF674">
        <w:t xml:space="preserve"> </w:t>
      </w:r>
      <w:r w:rsidR="004A50C0">
        <w:t>have been</w:t>
      </w:r>
      <w:r w:rsidRPr="064EF674">
        <w:t xml:space="preserve"> fitted with </w:t>
      </w:r>
      <w:r w:rsidR="5BC3C8D3" w:rsidRPr="064EF674">
        <w:t xml:space="preserve">low-carbon technology where possible, </w:t>
      </w:r>
      <w:r w:rsidR="00631626">
        <w:t>including</w:t>
      </w:r>
      <w:r w:rsidR="0E6461A2" w:rsidRPr="064EF674">
        <w:t>:</w:t>
      </w:r>
    </w:p>
    <w:p w14:paraId="37A1257F" w14:textId="69215032" w:rsidR="00BE5762" w:rsidRDefault="0E6461A2" w:rsidP="064EF674">
      <w:pPr>
        <w:pStyle w:val="ListParagraph"/>
        <w:numPr>
          <w:ilvl w:val="1"/>
          <w:numId w:val="7"/>
        </w:numPr>
      </w:pPr>
      <w:r w:rsidRPr="064EF674">
        <w:t>Heat pumps</w:t>
      </w:r>
    </w:p>
    <w:p w14:paraId="72E05B4B" w14:textId="46D9CB26" w:rsidR="004C3111" w:rsidRDefault="7FB60409" w:rsidP="064EF674">
      <w:pPr>
        <w:pStyle w:val="ListParagraph"/>
        <w:numPr>
          <w:ilvl w:val="1"/>
          <w:numId w:val="7"/>
        </w:numPr>
      </w:pPr>
      <w:r w:rsidRPr="064EF674">
        <w:t>Waste energy recovery systems</w:t>
      </w:r>
      <w:r w:rsidR="00631626">
        <w:t>, such as</w:t>
      </w:r>
      <w:r w:rsidRPr="064EF674">
        <w:t xml:space="preserve"> run</w:t>
      </w:r>
      <w:r w:rsidR="00631626">
        <w:t xml:space="preserve"> </w:t>
      </w:r>
      <w:r w:rsidRPr="064EF674">
        <w:t>around coils</w:t>
      </w:r>
      <w:r w:rsidR="00631626">
        <w:t xml:space="preserve"> and</w:t>
      </w:r>
      <w:r w:rsidR="2D0C8198" w:rsidRPr="064EF674">
        <w:t xml:space="preserve"> </w:t>
      </w:r>
      <w:r w:rsidR="2F4E847D" w:rsidRPr="064EF674">
        <w:t>plate heat exchangers</w:t>
      </w:r>
    </w:p>
    <w:p w14:paraId="1F4645DD" w14:textId="54A229F1" w:rsidR="004C3111" w:rsidRDefault="1F450E60" w:rsidP="064EF674">
      <w:pPr>
        <w:pStyle w:val="ListParagraph"/>
        <w:numPr>
          <w:ilvl w:val="1"/>
          <w:numId w:val="7"/>
        </w:numPr>
      </w:pPr>
      <w:r w:rsidRPr="064EF674">
        <w:t>Independent control valves on low temperature hot w</w:t>
      </w:r>
      <w:r w:rsidR="70F5CF83" w:rsidRPr="064EF674">
        <w:t>ater and chilled water</w:t>
      </w:r>
    </w:p>
    <w:p w14:paraId="1A7E3867" w14:textId="71D55D2C" w:rsidR="00BE5762" w:rsidRDefault="0E6461A2" w:rsidP="064EF674">
      <w:pPr>
        <w:pStyle w:val="ListParagraph"/>
        <w:numPr>
          <w:ilvl w:val="1"/>
          <w:numId w:val="7"/>
        </w:numPr>
      </w:pPr>
      <w:r w:rsidRPr="064EF674">
        <w:t>LED luminaires with dimmable controls</w:t>
      </w:r>
    </w:p>
    <w:p w14:paraId="01F72698" w14:textId="26208AF8" w:rsidR="00BE5762" w:rsidRDefault="00631626" w:rsidP="064EF674">
      <w:pPr>
        <w:pStyle w:val="ListParagraph"/>
        <w:numPr>
          <w:ilvl w:val="1"/>
          <w:numId w:val="7"/>
        </w:numPr>
      </w:pPr>
      <w:r>
        <w:t>Passive infrared sensor</w:t>
      </w:r>
      <w:r w:rsidR="034C0301" w:rsidRPr="064EF674">
        <w:t xml:space="preserve"> control of luminaires</w:t>
      </w:r>
      <w:r w:rsidR="004D60D7">
        <w:t>,</w:t>
      </w:r>
      <w:r w:rsidR="034C0301" w:rsidRPr="064EF674">
        <w:t xml:space="preserve"> where appropriate</w:t>
      </w:r>
    </w:p>
    <w:p w14:paraId="229EF9DE" w14:textId="611CA90F" w:rsidR="00F06023" w:rsidRDefault="1F25656E" w:rsidP="064EF674">
      <w:pPr>
        <w:pStyle w:val="ListParagraph"/>
        <w:numPr>
          <w:ilvl w:val="1"/>
          <w:numId w:val="7"/>
        </w:numPr>
      </w:pPr>
      <w:r w:rsidRPr="064EF674">
        <w:lastRenderedPageBreak/>
        <w:t>Separately metered power and lighting boards</w:t>
      </w:r>
    </w:p>
    <w:p w14:paraId="1A909752" w14:textId="4423ECAE" w:rsidR="00CE0F32" w:rsidRDefault="1F25656E" w:rsidP="064EF674">
      <w:pPr>
        <w:pStyle w:val="ListParagraph"/>
        <w:numPr>
          <w:ilvl w:val="1"/>
          <w:numId w:val="7"/>
        </w:numPr>
      </w:pPr>
      <w:r w:rsidRPr="064EF674">
        <w:t>Intelligent automatic controls systems to manage the operation of all plan</w:t>
      </w:r>
      <w:r w:rsidR="39E82AF6" w:rsidRPr="064EF674">
        <w:t>t</w:t>
      </w:r>
      <w:r w:rsidR="007B5139">
        <w:t>s</w:t>
      </w:r>
      <w:r w:rsidR="7F521BF6" w:rsidRPr="064EF674">
        <w:t xml:space="preserve"> and associated systems</w:t>
      </w:r>
    </w:p>
    <w:p w14:paraId="13E5A9ED" w14:textId="77777777" w:rsidR="00B44D73" w:rsidRPr="00B44D73" w:rsidRDefault="00B44D73" w:rsidP="004A50C0"/>
    <w:p w14:paraId="68EF4374" w14:textId="4BBC9D50" w:rsidR="00BF2A64" w:rsidRDefault="112A7A5D" w:rsidP="00992170">
      <w:r w:rsidRPr="064EF674">
        <w:t>To</w:t>
      </w:r>
      <w:r w:rsidR="0F020283" w:rsidRPr="064EF674">
        <w:t xml:space="preserve"> support staff engagement</w:t>
      </w:r>
      <w:r w:rsidRPr="064EF674">
        <w:t xml:space="preserve"> and increase </w:t>
      </w:r>
      <w:r w:rsidR="00992170">
        <w:t>understanding within our business, we r</w:t>
      </w:r>
      <w:r w:rsidR="195F31B1" w:rsidRPr="064EF674">
        <w:t xml:space="preserve">an </w:t>
      </w:r>
      <w:r w:rsidR="002F2762">
        <w:t>engagement weeks and days with staff, launched a Green Champions Network, and improved our training offering.</w:t>
      </w:r>
    </w:p>
    <w:p w14:paraId="5FE162A5" w14:textId="2A7BBB81" w:rsidR="47DA66B7" w:rsidRDefault="47DA66B7" w:rsidP="47DA66B7">
      <w:pPr>
        <w:pStyle w:val="Standard"/>
        <w:spacing w:line="242" w:lineRule="auto"/>
        <w:rPr>
          <w:color w:val="000000" w:themeColor="text1"/>
        </w:rPr>
      </w:pPr>
    </w:p>
    <w:p w14:paraId="721D17F2" w14:textId="586366E1" w:rsidR="00D43AA6" w:rsidRDefault="00B20F6E" w:rsidP="00AF6BB9">
      <w:pPr>
        <w:pStyle w:val="Standard"/>
        <w:spacing w:line="242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 progress and upcoming</w:t>
      </w:r>
      <w:r w:rsidR="1EFF3B73" w:rsidRPr="064EF674">
        <w:rPr>
          <w:b/>
          <w:bCs/>
          <w:color w:val="000000" w:themeColor="text1"/>
        </w:rPr>
        <w:t xml:space="preserve"> </w:t>
      </w:r>
      <w:r w:rsidR="261066C6" w:rsidRPr="064EF674">
        <w:rPr>
          <w:b/>
          <w:bCs/>
          <w:color w:val="000000" w:themeColor="text1"/>
        </w:rPr>
        <w:t>i</w:t>
      </w:r>
      <w:r w:rsidR="1EFF3B73" w:rsidRPr="064EF674">
        <w:rPr>
          <w:b/>
          <w:bCs/>
          <w:color w:val="000000" w:themeColor="text1"/>
        </w:rPr>
        <w:t>nitiatives</w:t>
      </w:r>
    </w:p>
    <w:p w14:paraId="372FB5E5" w14:textId="77777777" w:rsidR="008B47CE" w:rsidRPr="00AD3B50" w:rsidRDefault="008B47CE">
      <w:pPr>
        <w:pStyle w:val="Standard"/>
        <w:spacing w:line="242" w:lineRule="auto"/>
        <w:rPr>
          <w:b/>
          <w:color w:val="000000" w:themeColor="text1"/>
        </w:rPr>
      </w:pPr>
    </w:p>
    <w:p w14:paraId="661B706D" w14:textId="4816BB8D" w:rsidR="001D4BE7" w:rsidRPr="001D4BE7" w:rsidRDefault="00631626" w:rsidP="064EF674">
      <w:bookmarkStart w:id="15" w:name="_heading=h.1pxezwc"/>
      <w:bookmarkStart w:id="16" w:name="_heading=h.49x2ik5"/>
      <w:bookmarkEnd w:id="15"/>
      <w:bookmarkEnd w:id="16"/>
      <w:r>
        <w:t xml:space="preserve">We have </w:t>
      </w:r>
      <w:proofErr w:type="gramStart"/>
      <w:r>
        <w:t>a number of</w:t>
      </w:r>
      <w:proofErr w:type="gramEnd"/>
      <w:r>
        <w:t xml:space="preserve"> initiatives upcoming or already in progress in 2025</w:t>
      </w:r>
      <w:r w:rsidR="00FE1680">
        <w:t>:</w:t>
      </w:r>
    </w:p>
    <w:p w14:paraId="43F19523" w14:textId="76C05E8A" w:rsidR="001D4BE7" w:rsidRDefault="39F1873A" w:rsidP="064EF674">
      <w:pPr>
        <w:pStyle w:val="ListParagraph"/>
        <w:numPr>
          <w:ilvl w:val="0"/>
          <w:numId w:val="1"/>
        </w:numPr>
      </w:pPr>
      <w:r>
        <w:t xml:space="preserve">We are </w:t>
      </w:r>
      <w:r w:rsidR="00631626">
        <w:t>im</w:t>
      </w:r>
      <w:r w:rsidR="0082155A">
        <w:t>plementing a new electronic health record system,</w:t>
      </w:r>
      <w:r w:rsidR="00CD3988">
        <w:t xml:space="preserve"> which</w:t>
      </w:r>
      <w:r w:rsidR="00631626">
        <w:t xml:space="preserve"> </w:t>
      </w:r>
      <w:r w:rsidR="0007693F">
        <w:t xml:space="preserve">we believe </w:t>
      </w:r>
      <w:r w:rsidR="00631626">
        <w:t>will help significantly reduce our pape</w:t>
      </w:r>
      <w:r w:rsidR="00CD3988">
        <w:t xml:space="preserve">r processes. In conjunction with this, we also </w:t>
      </w:r>
      <w:r w:rsidR="0007693F">
        <w:t xml:space="preserve">intend to </w:t>
      </w:r>
      <w:r w:rsidR="77D7E37B">
        <w:t xml:space="preserve">run </w:t>
      </w:r>
      <w:r w:rsidR="6200BF15">
        <w:t>sustainability staff engagement initiative</w:t>
      </w:r>
      <w:r w:rsidR="0007693F">
        <w:t>s</w:t>
      </w:r>
      <w:r w:rsidR="00367D68">
        <w:t xml:space="preserve"> to reduce paper</w:t>
      </w:r>
      <w:r w:rsidR="7489FFF8">
        <w:t>.</w:t>
      </w:r>
    </w:p>
    <w:p w14:paraId="485E4F3A" w14:textId="73A6C094" w:rsidR="3AB85012" w:rsidRDefault="3AB85012" w:rsidP="3AB85012">
      <w:pPr>
        <w:pStyle w:val="ListParagraph"/>
      </w:pPr>
    </w:p>
    <w:p w14:paraId="0E687BF8" w14:textId="278FBCAE" w:rsidR="001D4BE7" w:rsidRPr="001D4BE7" w:rsidRDefault="77D7E37B" w:rsidP="3AB85012">
      <w:pPr>
        <w:pStyle w:val="ListParagraph"/>
        <w:numPr>
          <w:ilvl w:val="0"/>
          <w:numId w:val="7"/>
        </w:numPr>
        <w:rPr>
          <w:szCs w:val="22"/>
        </w:rPr>
      </w:pPr>
      <w:r>
        <w:t>In our buildings</w:t>
      </w:r>
      <w:r w:rsidR="57250FA2">
        <w:t>, we plan to:</w:t>
      </w:r>
    </w:p>
    <w:p w14:paraId="4134AA48" w14:textId="6BE25542" w:rsidR="005613AC" w:rsidRDefault="57250FA2" w:rsidP="3AB85012">
      <w:pPr>
        <w:pStyle w:val="ListParagraph"/>
        <w:numPr>
          <w:ilvl w:val="1"/>
          <w:numId w:val="7"/>
        </w:numPr>
        <w:rPr>
          <w:szCs w:val="22"/>
        </w:rPr>
      </w:pPr>
      <w:r>
        <w:t xml:space="preserve">Continue to invest in modernising </w:t>
      </w:r>
      <w:r w:rsidR="70764DC9">
        <w:t>our buildings and upgrad</w:t>
      </w:r>
      <w:r w:rsidR="0007693F">
        <w:t>ing</w:t>
      </w:r>
      <w:r w:rsidR="70764DC9">
        <w:t xml:space="preserve"> equipment to create energy efficiencies</w:t>
      </w:r>
      <w:r w:rsidR="00502195">
        <w:t>, such as air handling unit replacements</w:t>
      </w:r>
    </w:p>
    <w:p w14:paraId="11581272" w14:textId="1DB93D7B" w:rsidR="005613AC" w:rsidRDefault="4DC4C087" w:rsidP="3AB85012">
      <w:pPr>
        <w:pStyle w:val="ListParagraph"/>
        <w:numPr>
          <w:ilvl w:val="1"/>
          <w:numId w:val="7"/>
        </w:numPr>
        <w:rPr>
          <w:szCs w:val="22"/>
        </w:rPr>
      </w:pPr>
      <w:r>
        <w:t>Increase</w:t>
      </w:r>
      <w:r w:rsidR="658341CF">
        <w:t xml:space="preserve"> our assessments </w:t>
      </w:r>
      <w:r w:rsidR="5779993A">
        <w:t>of e</w:t>
      </w:r>
      <w:r w:rsidR="2302F65F">
        <w:t>mbodied carbon</w:t>
      </w:r>
      <w:r w:rsidR="5779993A">
        <w:t xml:space="preserve"> within new building construction and refurbishments </w:t>
      </w:r>
    </w:p>
    <w:p w14:paraId="401927DE" w14:textId="7168E462" w:rsidR="00C420AE" w:rsidRDefault="4DC4C087" w:rsidP="3AB85012">
      <w:pPr>
        <w:pStyle w:val="ListParagraph"/>
        <w:numPr>
          <w:ilvl w:val="1"/>
          <w:numId w:val="7"/>
        </w:numPr>
        <w:rPr>
          <w:szCs w:val="22"/>
        </w:rPr>
      </w:pPr>
      <w:r>
        <w:t xml:space="preserve">Include environmental sustainability </w:t>
      </w:r>
      <w:r w:rsidR="586813D5">
        <w:t xml:space="preserve">as part </w:t>
      </w:r>
      <w:r w:rsidR="5779993A">
        <w:t xml:space="preserve">of </w:t>
      </w:r>
      <w:r w:rsidR="586813D5">
        <w:t xml:space="preserve">our refresh of our </w:t>
      </w:r>
      <w:r w:rsidR="5779993A">
        <w:t xml:space="preserve">building design standards </w:t>
      </w:r>
    </w:p>
    <w:p w14:paraId="2DB496FA" w14:textId="77777777" w:rsidR="00BB1BE0" w:rsidRDefault="00BB1BE0" w:rsidP="00BB1BE0">
      <w:pPr>
        <w:rPr>
          <w:color w:val="0070C0"/>
        </w:rPr>
      </w:pPr>
    </w:p>
    <w:p w14:paraId="7FEF83CD" w14:textId="531D2EBC" w:rsidR="647B82B4" w:rsidRDefault="647B82B4" w:rsidP="3AB85012">
      <w:pPr>
        <w:pStyle w:val="ListParagraph"/>
        <w:numPr>
          <w:ilvl w:val="0"/>
          <w:numId w:val="1"/>
        </w:numPr>
      </w:pPr>
      <w:r>
        <w:t>Working with our clinical teams, we plan to scale our initiatives to reduce our use of consumables in clinical settings where clinically appropriate</w:t>
      </w:r>
      <w:r w:rsidR="007515D9">
        <w:t xml:space="preserve"> and fiscally prudent</w:t>
      </w:r>
      <w:r w:rsidR="1973A0C5">
        <w:t>.</w:t>
      </w:r>
      <w:r w:rsidR="006C07D7">
        <w:t xml:space="preserve"> </w:t>
      </w:r>
    </w:p>
    <w:p w14:paraId="3DADC8E9" w14:textId="2F2B9793" w:rsidR="3AB85012" w:rsidRDefault="3AB85012" w:rsidP="3AB85012"/>
    <w:p w14:paraId="573A467C" w14:textId="71A24542" w:rsidR="647B82B4" w:rsidRPr="002E5A6A" w:rsidRDefault="647B82B4" w:rsidP="002E5A6A">
      <w:pPr>
        <w:pStyle w:val="ListParagraph"/>
        <w:numPr>
          <w:ilvl w:val="0"/>
          <w:numId w:val="1"/>
        </w:numPr>
      </w:pPr>
      <w:r>
        <w:t xml:space="preserve">Within our Hotel Services function, we plan </w:t>
      </w:r>
      <w:r w:rsidR="0007693F">
        <w:t xml:space="preserve">to </w:t>
      </w:r>
      <w:r>
        <w:t>reduc</w:t>
      </w:r>
      <w:r w:rsidR="0007693F">
        <w:t>e</w:t>
      </w:r>
      <w:r>
        <w:t xml:space="preserve"> our single-use catering consumables</w:t>
      </w:r>
      <w:r w:rsidR="591E961B">
        <w:t xml:space="preserve"> where feasible.</w:t>
      </w:r>
      <w:r w:rsidR="004E374B">
        <w:t xml:space="preserve"> We are also </w:t>
      </w:r>
      <w:r w:rsidR="0007693F">
        <w:t xml:space="preserve">innovating </w:t>
      </w:r>
      <w:r w:rsidR="00CE476D">
        <w:t xml:space="preserve">our housekeeping </w:t>
      </w:r>
      <w:r w:rsidR="00FF380D">
        <w:t xml:space="preserve">functions </w:t>
      </w:r>
      <w:r w:rsidR="00FE1680">
        <w:t>by using</w:t>
      </w:r>
      <w:r w:rsidR="00CE476D">
        <w:t xml:space="preserve"> </w:t>
      </w:r>
      <w:r w:rsidR="002E5A6A">
        <w:t>a</w:t>
      </w:r>
      <w:r>
        <w:t xml:space="preserve"> different style mop head </w:t>
      </w:r>
      <w:r w:rsidR="00FE1680">
        <w:t>that</w:t>
      </w:r>
      <w:r>
        <w:t xml:space="preserve"> reduce</w:t>
      </w:r>
      <w:r w:rsidR="0007693F">
        <w:t>s</w:t>
      </w:r>
      <w:r>
        <w:t xml:space="preserve"> plastic and water use</w:t>
      </w:r>
      <w:r w:rsidR="002E5A6A">
        <w:t xml:space="preserve"> and </w:t>
      </w:r>
      <w:r w:rsidR="00FE1680">
        <w:t xml:space="preserve">moving to </w:t>
      </w:r>
      <w:r w:rsidR="002E5A6A">
        <w:t>bulk</w:t>
      </w:r>
      <w:r>
        <w:t xml:space="preserve"> toiletries to reduce plastic use and improve recyclability</w:t>
      </w:r>
      <w:r w:rsidR="002E5A6A">
        <w:t>.</w:t>
      </w:r>
    </w:p>
    <w:p w14:paraId="0E7D7F52" w14:textId="39E8120A" w:rsidR="3AB85012" w:rsidRDefault="3AB85012" w:rsidP="3AB85012">
      <w:pPr>
        <w:rPr>
          <w:color w:val="0070C0"/>
        </w:rPr>
      </w:pPr>
    </w:p>
    <w:p w14:paraId="13AB00B6" w14:textId="7947EDAF" w:rsidR="009966C2" w:rsidRDefault="3BA7E93E" w:rsidP="3AB85012">
      <w:pPr>
        <w:pStyle w:val="ListParagraph"/>
        <w:numPr>
          <w:ilvl w:val="0"/>
          <w:numId w:val="7"/>
        </w:numPr>
        <w:rPr>
          <w:szCs w:val="22"/>
        </w:rPr>
      </w:pPr>
      <w:r>
        <w:t xml:space="preserve">In </w:t>
      </w:r>
      <w:r w:rsidR="586813D5">
        <w:t>our Labs business</w:t>
      </w:r>
      <w:r>
        <w:t>, we plan to move to digit</w:t>
      </w:r>
      <w:r w:rsidR="5779993A">
        <w:t xml:space="preserve">alised systems and </w:t>
      </w:r>
      <w:r>
        <w:t>sample transfer</w:t>
      </w:r>
      <w:r w:rsidR="5779993A">
        <w:t xml:space="preserve"> to</w:t>
      </w:r>
      <w:r>
        <w:t xml:space="preserve"> reduce courier traffic</w:t>
      </w:r>
      <w:r w:rsidR="5779993A">
        <w:t xml:space="preserve"> and our paper burden</w:t>
      </w:r>
      <w:r>
        <w:t xml:space="preserve">. </w:t>
      </w:r>
      <w:r w:rsidR="0062560A">
        <w:t xml:space="preserve">We are supporting </w:t>
      </w:r>
      <w:hyperlink r:id="rId15">
        <w:r w:rsidR="0062560A" w:rsidRPr="3AB85012">
          <w:rPr>
            <w:rStyle w:val="Hyperlink"/>
            <w:color w:val="auto"/>
          </w:rPr>
          <w:t>My Green Lab</w:t>
        </w:r>
      </w:hyperlink>
      <w:r w:rsidR="0062560A">
        <w:t xml:space="preserve"> to develop a certification </w:t>
      </w:r>
      <w:r w:rsidR="009C0F72">
        <w:t>tailored to clinical labs. Once complete</w:t>
      </w:r>
      <w:r w:rsidR="5779993A">
        <w:t xml:space="preserve">, we </w:t>
      </w:r>
      <w:r w:rsidR="658341CF">
        <w:t>plan to</w:t>
      </w:r>
      <w:r w:rsidR="5779993A">
        <w:t xml:space="preserve"> undertake the</w:t>
      </w:r>
      <w:r>
        <w:t xml:space="preserve"> </w:t>
      </w:r>
      <w:hyperlink r:id="rId16">
        <w:r w:rsidRPr="3AB85012">
          <w:rPr>
            <w:rStyle w:val="Hyperlink"/>
            <w:color w:val="auto"/>
          </w:rPr>
          <w:t>My Green Lab</w:t>
        </w:r>
      </w:hyperlink>
      <w:r>
        <w:t xml:space="preserve"> certification scheme.</w:t>
      </w:r>
    </w:p>
    <w:p w14:paraId="599910D9" w14:textId="77777777" w:rsidR="00A866C8" w:rsidRDefault="00A866C8" w:rsidP="064EF674"/>
    <w:p w14:paraId="667387F4" w14:textId="74621E8F" w:rsidR="67E6C472" w:rsidRDefault="67E6C472" w:rsidP="3AB85012">
      <w:pPr>
        <w:pStyle w:val="ListParagraph"/>
        <w:numPr>
          <w:ilvl w:val="0"/>
          <w:numId w:val="7"/>
        </w:numPr>
        <w:rPr>
          <w:szCs w:val="22"/>
        </w:rPr>
      </w:pPr>
      <w:r>
        <w:t>In our supply chain, we plan to include environmental sustainability and transparency questions consistently in supplier tenders</w:t>
      </w:r>
      <w:r w:rsidR="001E11FA">
        <w:t xml:space="preserve"> and further engage our key suppliers</w:t>
      </w:r>
      <w:r w:rsidR="00887DFC">
        <w:t xml:space="preserve"> on environmental sustainability</w:t>
      </w:r>
      <w:r w:rsidR="001E11FA">
        <w:t>.</w:t>
      </w:r>
    </w:p>
    <w:p w14:paraId="0A100BB3" w14:textId="77777777" w:rsidR="008C46F8" w:rsidRDefault="008C46F8" w:rsidP="008B47CE"/>
    <w:p w14:paraId="721D17F5" w14:textId="42B8131A" w:rsidR="00D43AA6" w:rsidRDefault="0094626C" w:rsidP="008B47CE">
      <w:pPr>
        <w:pStyle w:val="Heading1"/>
      </w:pPr>
      <w:r>
        <w:t>Declaration</w:t>
      </w:r>
    </w:p>
    <w:p w14:paraId="721D17F6" w14:textId="77777777" w:rsidR="00D43AA6" w:rsidRPr="008B47CE" w:rsidRDefault="0094626C">
      <w:pPr>
        <w:pStyle w:val="Standard"/>
        <w:spacing w:after="300" w:line="242" w:lineRule="auto"/>
        <w:rPr>
          <w:color w:val="000000" w:themeColor="text1"/>
        </w:rPr>
      </w:pPr>
      <w:r w:rsidRPr="008B47CE">
        <w:rPr>
          <w:color w:val="000000" w:themeColor="text1"/>
        </w:rPr>
        <w:t>HCA Healthcare UK’s Carbon Reduction Plan has been completed in accordance with PPN 06/21 and associated guidance and reporting standard for Carbon Reduction Plans.</w:t>
      </w:r>
    </w:p>
    <w:p w14:paraId="721D17F7" w14:textId="30B29D01" w:rsidR="00D43AA6" w:rsidRPr="008B47CE" w:rsidRDefault="0094626C">
      <w:pPr>
        <w:pStyle w:val="Standard"/>
        <w:spacing w:after="300" w:line="242" w:lineRule="auto"/>
        <w:rPr>
          <w:color w:val="000000" w:themeColor="text1"/>
        </w:rPr>
      </w:pPr>
      <w:r w:rsidRPr="008B47CE">
        <w:rPr>
          <w:color w:val="000000" w:themeColor="text1"/>
        </w:rPr>
        <w:t xml:space="preserve">Our </w:t>
      </w:r>
      <w:r w:rsidR="009125E8">
        <w:rPr>
          <w:color w:val="000000" w:themeColor="text1"/>
        </w:rPr>
        <w:t>s</w:t>
      </w:r>
      <w:r w:rsidR="00480D46">
        <w:rPr>
          <w:color w:val="000000" w:themeColor="text1"/>
        </w:rPr>
        <w:t xml:space="preserve">cope 1 and </w:t>
      </w:r>
      <w:r w:rsidR="009125E8">
        <w:rPr>
          <w:color w:val="000000" w:themeColor="text1"/>
        </w:rPr>
        <w:t>s</w:t>
      </w:r>
      <w:r w:rsidR="00480D46">
        <w:rPr>
          <w:color w:val="000000" w:themeColor="text1"/>
        </w:rPr>
        <w:t xml:space="preserve">cope 2 </w:t>
      </w:r>
      <w:r w:rsidRPr="008B47CE">
        <w:rPr>
          <w:color w:val="000000" w:themeColor="text1"/>
        </w:rPr>
        <w:t>emissions have been</w:t>
      </w:r>
      <w:r w:rsidR="0015134E">
        <w:rPr>
          <w:color w:val="000000" w:themeColor="text1"/>
        </w:rPr>
        <w:t xml:space="preserve"> </w:t>
      </w:r>
      <w:r w:rsidR="00753F03">
        <w:rPr>
          <w:color w:val="000000" w:themeColor="text1"/>
        </w:rPr>
        <w:t xml:space="preserve">calculated </w:t>
      </w:r>
      <w:r w:rsidR="007A7DCE">
        <w:rPr>
          <w:color w:val="000000" w:themeColor="text1"/>
        </w:rPr>
        <w:t>in accordance with the</w:t>
      </w:r>
      <w:r w:rsidR="00261A59" w:rsidRPr="008B47CE">
        <w:rPr>
          <w:color w:val="000000" w:themeColor="text1"/>
        </w:rPr>
        <w:t xml:space="preserve"> GHG Reporting Protocol </w:t>
      </w:r>
      <w:r w:rsidR="007C2342">
        <w:rPr>
          <w:color w:val="000000" w:themeColor="text1"/>
        </w:rPr>
        <w:t>C</w:t>
      </w:r>
      <w:r w:rsidR="00261A59" w:rsidRPr="008B47CE">
        <w:rPr>
          <w:color w:val="000000" w:themeColor="text1"/>
        </w:rPr>
        <w:t xml:space="preserve">orporate </w:t>
      </w:r>
      <w:r w:rsidR="007C2342">
        <w:rPr>
          <w:color w:val="000000" w:themeColor="text1"/>
        </w:rPr>
        <w:t>S</w:t>
      </w:r>
      <w:r w:rsidR="00261A59" w:rsidRPr="008B47CE">
        <w:rPr>
          <w:color w:val="000000" w:themeColor="text1"/>
        </w:rPr>
        <w:t>tandard</w:t>
      </w:r>
      <w:r w:rsidR="00261A59" w:rsidRPr="008B47CE">
        <w:rPr>
          <w:rStyle w:val="FootnoteReference"/>
          <w:color w:val="000000" w:themeColor="text1"/>
        </w:rPr>
        <w:footnoteReference w:id="2"/>
      </w:r>
      <w:r w:rsidR="00480D46">
        <w:rPr>
          <w:color w:val="000000" w:themeColor="text1"/>
        </w:rPr>
        <w:t xml:space="preserve">, </w:t>
      </w:r>
      <w:r w:rsidR="00D40DF8">
        <w:rPr>
          <w:color w:val="000000" w:themeColor="text1"/>
        </w:rPr>
        <w:t>and</w:t>
      </w:r>
      <w:r w:rsidR="007E39E3">
        <w:rPr>
          <w:color w:val="000000" w:themeColor="text1"/>
        </w:rPr>
        <w:t xml:space="preserve"> our Scope</w:t>
      </w:r>
      <w:r w:rsidR="00DD5FD0">
        <w:rPr>
          <w:color w:val="000000" w:themeColor="text1"/>
        </w:rPr>
        <w:t xml:space="preserve"> 3 emissions </w:t>
      </w:r>
      <w:r w:rsidR="00ED58D1">
        <w:rPr>
          <w:color w:val="000000" w:themeColor="text1"/>
        </w:rPr>
        <w:t xml:space="preserve">calculated </w:t>
      </w:r>
      <w:r w:rsidR="00F26E6C">
        <w:rPr>
          <w:color w:val="000000" w:themeColor="text1"/>
        </w:rPr>
        <w:t xml:space="preserve">in accordance </w:t>
      </w:r>
      <w:r w:rsidR="00ED58D1">
        <w:rPr>
          <w:color w:val="000000" w:themeColor="text1"/>
        </w:rPr>
        <w:t>with the</w:t>
      </w:r>
      <w:r w:rsidR="00DD5FD0">
        <w:rPr>
          <w:color w:val="000000" w:themeColor="text1"/>
        </w:rPr>
        <w:t xml:space="preserve"> </w:t>
      </w:r>
      <w:r w:rsidR="00482640" w:rsidRPr="008B47CE">
        <w:rPr>
          <w:color w:val="000000" w:themeColor="text1"/>
        </w:rPr>
        <w:t>Corporate Value Chain (Scope 3) Standard</w:t>
      </w:r>
      <w:r w:rsidR="007417F9" w:rsidRPr="008B47CE">
        <w:rPr>
          <w:rStyle w:val="FootnoteReference"/>
          <w:color w:val="000000" w:themeColor="text1"/>
        </w:rPr>
        <w:footnoteReference w:id="3"/>
      </w:r>
      <w:r w:rsidR="00482640">
        <w:rPr>
          <w:color w:val="000000" w:themeColor="text1"/>
        </w:rPr>
        <w:t xml:space="preserve"> </w:t>
      </w:r>
      <w:r w:rsidR="001B2CFF">
        <w:rPr>
          <w:color w:val="000000" w:themeColor="text1"/>
        </w:rPr>
        <w:t xml:space="preserve">. </w:t>
      </w:r>
      <w:r w:rsidR="000C11DE">
        <w:rPr>
          <w:color w:val="000000" w:themeColor="text1"/>
        </w:rPr>
        <w:t>W</w:t>
      </w:r>
      <w:r w:rsidRPr="008B47CE">
        <w:rPr>
          <w:color w:val="000000" w:themeColor="text1"/>
        </w:rPr>
        <w:t xml:space="preserve">e’ve used the </w:t>
      </w:r>
      <w:r w:rsidRPr="008B47CE">
        <w:rPr>
          <w:color w:val="000000" w:themeColor="text1"/>
        </w:rPr>
        <w:lastRenderedPageBreak/>
        <w:t xml:space="preserve">appropriate </w:t>
      </w:r>
      <w:hyperlink r:id="rId17" w:history="1">
        <w:r w:rsidRPr="008B47CE">
          <w:rPr>
            <w:color w:val="000000" w:themeColor="text1"/>
          </w:rPr>
          <w:t>Government emission conversion factors for greenhouse gas company reporting</w:t>
        </w:r>
      </w:hyperlink>
      <w:r w:rsidRPr="008B47CE">
        <w:rPr>
          <w:rStyle w:val="FootnoteReference"/>
          <w:color w:val="000000" w:themeColor="text1"/>
        </w:rPr>
        <w:footnoteReference w:id="4"/>
      </w:r>
      <w:r w:rsidRPr="008B47CE">
        <w:rPr>
          <w:color w:val="000000" w:themeColor="text1"/>
        </w:rPr>
        <w:t>.</w:t>
      </w:r>
    </w:p>
    <w:p w14:paraId="721D17F8" w14:textId="08F5DC06" w:rsidR="00D43AA6" w:rsidRPr="008B47CE" w:rsidRDefault="00A64B44">
      <w:pPr>
        <w:pStyle w:val="Standard"/>
        <w:spacing w:after="300" w:line="242" w:lineRule="auto"/>
        <w:rPr>
          <w:color w:val="000000" w:themeColor="text1"/>
        </w:rPr>
      </w:pPr>
      <w:r>
        <w:rPr>
          <w:color w:val="000000" w:themeColor="text1"/>
        </w:rPr>
        <w:t>Our emission</w:t>
      </w:r>
      <w:r w:rsidR="000C11DE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0C11DE">
        <w:rPr>
          <w:color w:val="000000" w:themeColor="text1"/>
        </w:rPr>
        <w:t xml:space="preserve">have been </w:t>
      </w:r>
      <w:r w:rsidR="000C11DE" w:rsidRPr="008B47CE">
        <w:rPr>
          <w:color w:val="000000" w:themeColor="text1"/>
        </w:rPr>
        <w:t>reported and recorded in accordance with the published reporting standard for Carbon Reduction Plans</w:t>
      </w:r>
      <w:r w:rsidR="0001575C">
        <w:rPr>
          <w:color w:val="000000" w:themeColor="text1"/>
        </w:rPr>
        <w:t xml:space="preserve">, including the </w:t>
      </w:r>
      <w:r w:rsidR="0001575C" w:rsidRPr="008B47CE">
        <w:rPr>
          <w:color w:val="000000" w:themeColor="text1"/>
        </w:rPr>
        <w:t xml:space="preserve">required subset of </w:t>
      </w:r>
      <w:r w:rsidR="0001575C">
        <w:rPr>
          <w:color w:val="000000" w:themeColor="text1"/>
        </w:rPr>
        <w:t>s</w:t>
      </w:r>
      <w:r w:rsidR="0001575C" w:rsidRPr="008B47CE">
        <w:rPr>
          <w:color w:val="000000" w:themeColor="text1"/>
        </w:rPr>
        <w:t>cope 3 emissions</w:t>
      </w:r>
      <w:r w:rsidR="000C11DE">
        <w:rPr>
          <w:color w:val="000000" w:themeColor="text1"/>
        </w:rPr>
        <w:t>.</w:t>
      </w:r>
      <w:r w:rsidR="000C11DE" w:rsidRPr="008B47CE">
        <w:rPr>
          <w:color w:val="000000" w:themeColor="text1"/>
        </w:rPr>
        <w:t xml:space="preserve"> </w:t>
      </w:r>
      <w:r w:rsidR="0094626C" w:rsidRPr="008B47CE">
        <w:rPr>
          <w:color w:val="000000" w:themeColor="text1"/>
        </w:rPr>
        <w:t xml:space="preserve">We’ve </w:t>
      </w:r>
      <w:r w:rsidR="003753F6">
        <w:rPr>
          <w:color w:val="000000" w:themeColor="text1"/>
        </w:rPr>
        <w:t xml:space="preserve">also </w:t>
      </w:r>
      <w:r w:rsidR="0094626C" w:rsidRPr="008B47CE">
        <w:rPr>
          <w:color w:val="000000" w:themeColor="text1"/>
        </w:rPr>
        <w:t xml:space="preserve">reported our </w:t>
      </w:r>
      <w:r w:rsidR="00B55187">
        <w:rPr>
          <w:color w:val="000000" w:themeColor="text1"/>
        </w:rPr>
        <w:t>s</w:t>
      </w:r>
      <w:r w:rsidR="0094626C" w:rsidRPr="008B47CE">
        <w:rPr>
          <w:color w:val="000000" w:themeColor="text1"/>
        </w:rPr>
        <w:t xml:space="preserve">cope 1 and </w:t>
      </w:r>
      <w:r w:rsidR="00B55187">
        <w:rPr>
          <w:color w:val="000000" w:themeColor="text1"/>
        </w:rPr>
        <w:t>s</w:t>
      </w:r>
      <w:r w:rsidR="0094626C" w:rsidRPr="008B47CE">
        <w:rPr>
          <w:color w:val="000000" w:themeColor="text1"/>
        </w:rPr>
        <w:t>cope 2 emissions in accordance with SECR requirements</w:t>
      </w:r>
      <w:r w:rsidR="000A192F">
        <w:rPr>
          <w:color w:val="000000" w:themeColor="text1"/>
        </w:rPr>
        <w:t>.</w:t>
      </w:r>
    </w:p>
    <w:p w14:paraId="721D17F9" w14:textId="156546D3" w:rsidR="00D43AA6" w:rsidRPr="008B47CE" w:rsidRDefault="0094626C">
      <w:pPr>
        <w:pStyle w:val="Standard"/>
        <w:spacing w:after="300" w:line="242" w:lineRule="auto"/>
        <w:rPr>
          <w:color w:val="000000" w:themeColor="text1"/>
        </w:rPr>
      </w:pPr>
      <w:r w:rsidRPr="1EF45141">
        <w:rPr>
          <w:color w:val="000000" w:themeColor="text1"/>
        </w:rPr>
        <w:t>Our Carbon Reduction Plan has been reviewed and signed off by the board of directors</w:t>
      </w:r>
      <w:r w:rsidR="002B5BAA" w:rsidRPr="1EF45141">
        <w:rPr>
          <w:color w:val="000000" w:themeColor="text1"/>
        </w:rPr>
        <w:t xml:space="preserve"> for HCA International Limited</w:t>
      </w:r>
      <w:r w:rsidR="000B7232" w:rsidRPr="1EF45141">
        <w:rPr>
          <w:color w:val="000000" w:themeColor="text1"/>
        </w:rPr>
        <w:t xml:space="preserve">, who </w:t>
      </w:r>
      <w:r w:rsidR="00FF4A9C" w:rsidRPr="1EF45141">
        <w:rPr>
          <w:color w:val="000000" w:themeColor="text1"/>
        </w:rPr>
        <w:t xml:space="preserve">oversee </w:t>
      </w:r>
      <w:r w:rsidR="4250B611" w:rsidRPr="1EF45141">
        <w:rPr>
          <w:color w:val="000000" w:themeColor="text1"/>
        </w:rPr>
        <w:t>UK operations</w:t>
      </w:r>
      <w:r w:rsidR="00FF4A9C" w:rsidRPr="1EF45141">
        <w:rPr>
          <w:color w:val="000000" w:themeColor="text1"/>
        </w:rPr>
        <w:t xml:space="preserve"> for the whole of HCA Healthcare UK and its </w:t>
      </w:r>
      <w:r w:rsidR="4C053C1D" w:rsidRPr="1EF45141">
        <w:rPr>
          <w:color w:val="000000" w:themeColor="text1"/>
        </w:rPr>
        <w:t xml:space="preserve">UK </w:t>
      </w:r>
      <w:r w:rsidR="007B6575" w:rsidRPr="1EF45141">
        <w:rPr>
          <w:color w:val="000000" w:themeColor="text1"/>
        </w:rPr>
        <w:t>affiliates</w:t>
      </w:r>
      <w:r w:rsidRPr="1EF45141">
        <w:rPr>
          <w:color w:val="000000" w:themeColor="text1"/>
        </w:rPr>
        <w:t>.</w:t>
      </w:r>
    </w:p>
    <w:p w14:paraId="721D17FA" w14:textId="57467206" w:rsidR="00D43AA6" w:rsidRDefault="0094626C">
      <w:pPr>
        <w:pStyle w:val="Heading4"/>
        <w:spacing w:after="300" w:line="242" w:lineRule="auto"/>
      </w:pPr>
      <w:bookmarkStart w:id="17" w:name="_heading=h.2p2csry"/>
      <w:bookmarkEnd w:id="17"/>
      <w:r>
        <w:t>Signed on behalf of the Supplier:</w:t>
      </w:r>
    </w:p>
    <w:p w14:paraId="1BC222A9" w14:textId="1AA218CB" w:rsidR="00BE2745" w:rsidRDefault="005B7668">
      <w:pPr>
        <w:pStyle w:val="Standard"/>
        <w:spacing w:after="300" w:line="242" w:lineRule="auto"/>
        <w:rPr>
          <w:color w:val="0B0C0C"/>
        </w:rPr>
      </w:pPr>
      <w:r w:rsidRPr="005B7668">
        <w:rPr>
          <w:noProof/>
          <w:color w:val="0B0C0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876C3F" wp14:editId="61466965">
                <wp:simplePos x="0" y="0"/>
                <wp:positionH relativeFrom="column">
                  <wp:posOffset>548005</wp:posOffset>
                </wp:positionH>
                <wp:positionV relativeFrom="paragraph">
                  <wp:posOffset>717550</wp:posOffset>
                </wp:positionV>
                <wp:extent cx="236093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6425B" w14:textId="08B9E7BF" w:rsidR="005B7668" w:rsidRDefault="009B1DC7">
                            <w:r>
                              <w:t xml:space="preserve">16 </w:t>
                            </w:r>
                            <w:r w:rsidR="005B7668">
                              <w:t>March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876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15pt;margin-top:56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hzvIJuEAAAAKAQAADwAAAAAAAAAAAAAAAABoBAAAZHJzL2Rvd25yZXYueG1sUEsFBgAAAAAEAAQA&#10;8wAAAHYFAAAAAA==&#10;" stroked="f">
                <v:textbox style="mso-fit-shape-to-text:t">
                  <w:txbxContent>
                    <w:p w14:paraId="0606425B" w14:textId="08B9E7BF" w:rsidR="005B7668" w:rsidRDefault="009B1DC7">
                      <w:r>
                        <w:t xml:space="preserve">16 </w:t>
                      </w:r>
                      <w:r w:rsidR="005B7668">
                        <w:t>March 2026</w:t>
                      </w:r>
                    </w:p>
                  </w:txbxContent>
                </v:textbox>
              </v:shape>
            </w:pict>
          </mc:Fallback>
        </mc:AlternateContent>
      </w:r>
      <w:r w:rsidRPr="005B7668">
        <w:rPr>
          <w:noProof/>
          <w:color w:val="0B0C0C"/>
        </w:rPr>
        <w:drawing>
          <wp:inline distT="0" distB="0" distL="0" distR="0" wp14:anchorId="4D371463" wp14:editId="3EC83005">
            <wp:extent cx="3598186" cy="714375"/>
            <wp:effectExtent l="0" t="0" r="2540" b="0"/>
            <wp:docPr id="1132932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3213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4625" cy="71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D17FD" w14:textId="3C1F5F91" w:rsidR="00D43AA6" w:rsidRDefault="0094626C">
      <w:pPr>
        <w:pStyle w:val="Standard"/>
        <w:spacing w:after="300" w:line="242" w:lineRule="auto"/>
      </w:pPr>
      <w:r>
        <w:rPr>
          <w:color w:val="0B0C0C"/>
        </w:rPr>
        <w:t>Date: ……………………….……….</w:t>
      </w:r>
    </w:p>
    <w:p w14:paraId="721D17FE" w14:textId="72489A70" w:rsidR="00D43AA6" w:rsidRDefault="00D43AA6">
      <w:pPr>
        <w:pStyle w:val="Standard"/>
        <w:rPr>
          <w:shd w:val="clear" w:color="auto" w:fill="FFFF00"/>
        </w:rPr>
      </w:pPr>
      <w:bookmarkStart w:id="18" w:name="_heading=h.147n2zr"/>
      <w:bookmarkEnd w:id="18"/>
    </w:p>
    <w:p w14:paraId="721D17FF" w14:textId="2320BA3F" w:rsidR="00C46943" w:rsidRDefault="00C46943">
      <w:pPr>
        <w:widowControl w:val="0"/>
        <w:suppressAutoHyphens w:val="0"/>
      </w:pPr>
    </w:p>
    <w:sectPr w:rsidR="00C46943">
      <w:headerReference w:type="even" r:id="rId19"/>
      <w:headerReference w:type="default" r:id="rId20"/>
      <w:headerReference w:type="first" r:id="rId2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7D7D" w14:textId="77777777" w:rsidR="00616E19" w:rsidRDefault="00616E19">
      <w:r>
        <w:separator/>
      </w:r>
    </w:p>
  </w:endnote>
  <w:endnote w:type="continuationSeparator" w:id="0">
    <w:p w14:paraId="5FB36434" w14:textId="77777777" w:rsidR="00616E19" w:rsidRDefault="00616E19">
      <w:r>
        <w:continuationSeparator/>
      </w:r>
    </w:p>
  </w:endnote>
  <w:endnote w:type="continuationNotice" w:id="1">
    <w:p w14:paraId="34183650" w14:textId="77777777" w:rsidR="00616E19" w:rsidRDefault="00616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1CA9" w14:textId="77777777" w:rsidR="00616E19" w:rsidRDefault="00616E19">
      <w:r>
        <w:rPr>
          <w:color w:val="000000"/>
        </w:rPr>
        <w:separator/>
      </w:r>
    </w:p>
  </w:footnote>
  <w:footnote w:type="continuationSeparator" w:id="0">
    <w:p w14:paraId="2560E62B" w14:textId="77777777" w:rsidR="00616E19" w:rsidRDefault="00616E19">
      <w:r>
        <w:continuationSeparator/>
      </w:r>
    </w:p>
  </w:footnote>
  <w:footnote w:type="continuationNotice" w:id="1">
    <w:p w14:paraId="48A17282" w14:textId="77777777" w:rsidR="00616E19" w:rsidRDefault="00616E19"/>
  </w:footnote>
  <w:footnote w:id="2">
    <w:p w14:paraId="7D5AECC4" w14:textId="77777777" w:rsidR="00261A59" w:rsidRDefault="00261A59" w:rsidP="00261A59">
      <w:pPr>
        <w:pStyle w:val="Standard"/>
        <w:spacing w:line="240" w:lineRule="auto"/>
      </w:pPr>
      <w:r>
        <w:rPr>
          <w:rStyle w:val="FootnoteReference"/>
        </w:rPr>
        <w:footnoteRef/>
      </w:r>
      <w:hyperlink r:id="rId1" w:history="1">
        <w:r>
          <w:rPr>
            <w:color w:val="0000FF"/>
            <w:sz w:val="20"/>
            <w:szCs w:val="20"/>
            <w:u w:val="single"/>
          </w:rPr>
          <w:t>https://ghgprotocol.org/corporate-standard</w:t>
        </w:r>
      </w:hyperlink>
    </w:p>
  </w:footnote>
  <w:footnote w:id="3">
    <w:p w14:paraId="13677930" w14:textId="77777777" w:rsidR="007417F9" w:rsidRDefault="007417F9" w:rsidP="007417F9">
      <w:pPr>
        <w:pStyle w:val="Standard"/>
        <w:spacing w:line="240" w:lineRule="auto"/>
      </w:pPr>
      <w:r>
        <w:rPr>
          <w:rStyle w:val="FootnoteReference"/>
        </w:rPr>
        <w:footnoteRef/>
      </w:r>
      <w:hyperlink r:id="rId2" w:history="1">
        <w:r>
          <w:rPr>
            <w:color w:val="0000FF"/>
            <w:sz w:val="20"/>
            <w:szCs w:val="20"/>
            <w:u w:val="single"/>
          </w:rPr>
          <w:t>https://ghgprotocol.org/standards/scope-3-standard</w:t>
        </w:r>
      </w:hyperlink>
    </w:p>
  </w:footnote>
  <w:footnote w:id="4">
    <w:p w14:paraId="721D1796" w14:textId="77777777" w:rsidR="00C553B3" w:rsidRDefault="00C553B3">
      <w:pPr>
        <w:pStyle w:val="Standard"/>
        <w:spacing w:line="240" w:lineRule="auto"/>
      </w:pPr>
      <w:r>
        <w:rPr>
          <w:rStyle w:val="FootnoteReference"/>
        </w:rPr>
        <w:footnoteRef/>
      </w:r>
      <w:hyperlink r:id="rId3" w:history="1">
        <w:r>
          <w:rPr>
            <w:color w:val="0000FF"/>
            <w:sz w:val="20"/>
            <w:szCs w:val="20"/>
            <w:u w:val="single"/>
          </w:rPr>
          <w:t>https://www.gov.uk/government/collections/government-conversion-factors-for-company-reporting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2DBD" w14:textId="5E639D81" w:rsidR="004A50C0" w:rsidRDefault="004A5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179A" w14:textId="2E9E4351" w:rsidR="00C553B3" w:rsidRDefault="00C553B3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AD77" w14:textId="329D7A25" w:rsidR="004A50C0" w:rsidRDefault="004A5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55A"/>
    <w:multiLevelType w:val="hybridMultilevel"/>
    <w:tmpl w:val="B0AC6C70"/>
    <w:lvl w:ilvl="0" w:tplc="1D1C2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42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20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A2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82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8E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2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E1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C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3E53"/>
    <w:multiLevelType w:val="hybridMultilevel"/>
    <w:tmpl w:val="0A76D3D2"/>
    <w:lvl w:ilvl="0" w:tplc="D73A7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6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CE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D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E6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E2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C1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E3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53C5"/>
    <w:multiLevelType w:val="hybridMultilevel"/>
    <w:tmpl w:val="04EE8192"/>
    <w:lvl w:ilvl="0" w:tplc="2C368498">
      <w:start w:val="1"/>
      <w:numFmt w:val="lowerLetter"/>
      <w:lvlText w:val="%1."/>
      <w:lvlJc w:val="left"/>
      <w:pPr>
        <w:ind w:left="1020" w:hanging="360"/>
      </w:pPr>
    </w:lvl>
    <w:lvl w:ilvl="1" w:tplc="371E0B72">
      <w:start w:val="1"/>
      <w:numFmt w:val="lowerLetter"/>
      <w:lvlText w:val="%2."/>
      <w:lvlJc w:val="left"/>
      <w:pPr>
        <w:ind w:left="1020" w:hanging="360"/>
      </w:pPr>
    </w:lvl>
    <w:lvl w:ilvl="2" w:tplc="6852A16C">
      <w:start w:val="1"/>
      <w:numFmt w:val="lowerLetter"/>
      <w:lvlText w:val="%3."/>
      <w:lvlJc w:val="left"/>
      <w:pPr>
        <w:ind w:left="1020" w:hanging="360"/>
      </w:pPr>
    </w:lvl>
    <w:lvl w:ilvl="3" w:tplc="595EDCFE">
      <w:start w:val="1"/>
      <w:numFmt w:val="lowerLetter"/>
      <w:lvlText w:val="%4."/>
      <w:lvlJc w:val="left"/>
      <w:pPr>
        <w:ind w:left="1020" w:hanging="360"/>
      </w:pPr>
    </w:lvl>
    <w:lvl w:ilvl="4" w:tplc="9C2E1718">
      <w:start w:val="1"/>
      <w:numFmt w:val="lowerLetter"/>
      <w:lvlText w:val="%5."/>
      <w:lvlJc w:val="left"/>
      <w:pPr>
        <w:ind w:left="1020" w:hanging="360"/>
      </w:pPr>
    </w:lvl>
    <w:lvl w:ilvl="5" w:tplc="657E1130">
      <w:start w:val="1"/>
      <w:numFmt w:val="lowerLetter"/>
      <w:lvlText w:val="%6."/>
      <w:lvlJc w:val="left"/>
      <w:pPr>
        <w:ind w:left="1020" w:hanging="360"/>
      </w:pPr>
    </w:lvl>
    <w:lvl w:ilvl="6" w:tplc="B7BE644A">
      <w:start w:val="1"/>
      <w:numFmt w:val="lowerLetter"/>
      <w:lvlText w:val="%7."/>
      <w:lvlJc w:val="left"/>
      <w:pPr>
        <w:ind w:left="1020" w:hanging="360"/>
      </w:pPr>
    </w:lvl>
    <w:lvl w:ilvl="7" w:tplc="082023D6">
      <w:start w:val="1"/>
      <w:numFmt w:val="lowerLetter"/>
      <w:lvlText w:val="%8."/>
      <w:lvlJc w:val="left"/>
      <w:pPr>
        <w:ind w:left="1020" w:hanging="360"/>
      </w:pPr>
    </w:lvl>
    <w:lvl w:ilvl="8" w:tplc="3F52861E">
      <w:start w:val="1"/>
      <w:numFmt w:val="lowerLetter"/>
      <w:lvlText w:val="%9."/>
      <w:lvlJc w:val="left"/>
      <w:pPr>
        <w:ind w:left="1020" w:hanging="360"/>
      </w:pPr>
    </w:lvl>
  </w:abstractNum>
  <w:abstractNum w:abstractNumId="3" w15:restartNumberingAfterBreak="0">
    <w:nsid w:val="29FC665C"/>
    <w:multiLevelType w:val="hybridMultilevel"/>
    <w:tmpl w:val="39609642"/>
    <w:lvl w:ilvl="0" w:tplc="B2F27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AF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CB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4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C0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08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2A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05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87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539DE"/>
    <w:multiLevelType w:val="hybridMultilevel"/>
    <w:tmpl w:val="0464EBFA"/>
    <w:lvl w:ilvl="0" w:tplc="534AC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2F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0D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A4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A9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00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1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20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A0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135A5"/>
    <w:multiLevelType w:val="multilevel"/>
    <w:tmpl w:val="93B0502A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b w:val="0"/>
        <w:sz w:val="22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hAnsi="Noto Sans Symbols" w:hint="default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hAnsi="Noto Sans Symbols" w:hint="default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hAnsi="Noto Sans Symbols" w:hint="default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hAnsi="Noto Sans Symbols" w:hint="default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  <w:sz w:val="20"/>
        <w:szCs w:val="20"/>
      </w:rPr>
    </w:lvl>
  </w:abstractNum>
  <w:abstractNum w:abstractNumId="6" w15:restartNumberingAfterBreak="0">
    <w:nsid w:val="547973FF"/>
    <w:multiLevelType w:val="hybridMultilevel"/>
    <w:tmpl w:val="A4D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A1B31"/>
    <w:multiLevelType w:val="hybridMultilevel"/>
    <w:tmpl w:val="BDDA0ECC"/>
    <w:lvl w:ilvl="0" w:tplc="F5263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22B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8C5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9E2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96C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746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60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F285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E80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611C460C"/>
    <w:multiLevelType w:val="multilevel"/>
    <w:tmpl w:val="E0720E58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8CE7C5A"/>
    <w:multiLevelType w:val="hybridMultilevel"/>
    <w:tmpl w:val="CA024ADA"/>
    <w:lvl w:ilvl="0" w:tplc="A572A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D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CA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4F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E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C3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F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C2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83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54D0F"/>
    <w:multiLevelType w:val="hybridMultilevel"/>
    <w:tmpl w:val="E83C019A"/>
    <w:lvl w:ilvl="0" w:tplc="AA700BD6">
      <w:start w:val="1"/>
      <w:numFmt w:val="lowerLetter"/>
      <w:lvlText w:val="%1."/>
      <w:lvlJc w:val="left"/>
      <w:pPr>
        <w:ind w:left="1020" w:hanging="360"/>
      </w:pPr>
    </w:lvl>
    <w:lvl w:ilvl="1" w:tplc="877C1C88">
      <w:start w:val="1"/>
      <w:numFmt w:val="lowerLetter"/>
      <w:lvlText w:val="%2."/>
      <w:lvlJc w:val="left"/>
      <w:pPr>
        <w:ind w:left="1020" w:hanging="360"/>
      </w:pPr>
    </w:lvl>
    <w:lvl w:ilvl="2" w:tplc="FE84BA78">
      <w:start w:val="1"/>
      <w:numFmt w:val="lowerLetter"/>
      <w:lvlText w:val="%3."/>
      <w:lvlJc w:val="left"/>
      <w:pPr>
        <w:ind w:left="1020" w:hanging="360"/>
      </w:pPr>
    </w:lvl>
    <w:lvl w:ilvl="3" w:tplc="0750F268">
      <w:start w:val="1"/>
      <w:numFmt w:val="lowerLetter"/>
      <w:lvlText w:val="%4."/>
      <w:lvlJc w:val="left"/>
      <w:pPr>
        <w:ind w:left="1020" w:hanging="360"/>
      </w:pPr>
    </w:lvl>
    <w:lvl w:ilvl="4" w:tplc="FE9C6C50">
      <w:start w:val="1"/>
      <w:numFmt w:val="lowerLetter"/>
      <w:lvlText w:val="%5."/>
      <w:lvlJc w:val="left"/>
      <w:pPr>
        <w:ind w:left="1020" w:hanging="360"/>
      </w:pPr>
    </w:lvl>
    <w:lvl w:ilvl="5" w:tplc="AFE42942">
      <w:start w:val="1"/>
      <w:numFmt w:val="lowerLetter"/>
      <w:lvlText w:val="%6."/>
      <w:lvlJc w:val="left"/>
      <w:pPr>
        <w:ind w:left="1020" w:hanging="360"/>
      </w:pPr>
    </w:lvl>
    <w:lvl w:ilvl="6" w:tplc="157A5FDA">
      <w:start w:val="1"/>
      <w:numFmt w:val="lowerLetter"/>
      <w:lvlText w:val="%7."/>
      <w:lvlJc w:val="left"/>
      <w:pPr>
        <w:ind w:left="1020" w:hanging="360"/>
      </w:pPr>
    </w:lvl>
    <w:lvl w:ilvl="7" w:tplc="C30658D0">
      <w:start w:val="1"/>
      <w:numFmt w:val="lowerLetter"/>
      <w:lvlText w:val="%8."/>
      <w:lvlJc w:val="left"/>
      <w:pPr>
        <w:ind w:left="1020" w:hanging="360"/>
      </w:pPr>
    </w:lvl>
    <w:lvl w:ilvl="8" w:tplc="9D9A99F6">
      <w:start w:val="1"/>
      <w:numFmt w:val="lowerLetter"/>
      <w:lvlText w:val="%9."/>
      <w:lvlJc w:val="left"/>
      <w:pPr>
        <w:ind w:left="1020" w:hanging="360"/>
      </w:pPr>
    </w:lvl>
  </w:abstractNum>
  <w:abstractNum w:abstractNumId="11" w15:restartNumberingAfterBreak="0">
    <w:nsid w:val="73567D7C"/>
    <w:multiLevelType w:val="hybridMultilevel"/>
    <w:tmpl w:val="B726AA38"/>
    <w:lvl w:ilvl="0" w:tplc="10AA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E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43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E2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83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A6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86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4D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C5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4568">
    <w:abstractNumId w:val="4"/>
  </w:num>
  <w:num w:numId="2" w16cid:durableId="396362515">
    <w:abstractNumId w:val="1"/>
  </w:num>
  <w:num w:numId="3" w16cid:durableId="1840392069">
    <w:abstractNumId w:val="8"/>
  </w:num>
  <w:num w:numId="4" w16cid:durableId="534345608">
    <w:abstractNumId w:val="5"/>
  </w:num>
  <w:num w:numId="5" w16cid:durableId="1213812526">
    <w:abstractNumId w:val="5"/>
  </w:num>
  <w:num w:numId="6" w16cid:durableId="651327847">
    <w:abstractNumId w:val="3"/>
  </w:num>
  <w:num w:numId="7" w16cid:durableId="166016484">
    <w:abstractNumId w:val="11"/>
  </w:num>
  <w:num w:numId="8" w16cid:durableId="625279404">
    <w:abstractNumId w:val="0"/>
  </w:num>
  <w:num w:numId="9" w16cid:durableId="2040277955">
    <w:abstractNumId w:val="9"/>
  </w:num>
  <w:num w:numId="10" w16cid:durableId="1468663545">
    <w:abstractNumId w:val="7"/>
  </w:num>
  <w:num w:numId="11" w16cid:durableId="1903784646">
    <w:abstractNumId w:val="10"/>
  </w:num>
  <w:num w:numId="12" w16cid:durableId="1510024299">
    <w:abstractNumId w:val="2"/>
  </w:num>
  <w:num w:numId="13" w16cid:durableId="888344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A6"/>
    <w:rsid w:val="000032A9"/>
    <w:rsid w:val="000066AC"/>
    <w:rsid w:val="0001575C"/>
    <w:rsid w:val="00015E2E"/>
    <w:rsid w:val="00021DC5"/>
    <w:rsid w:val="00021F77"/>
    <w:rsid w:val="00031ACD"/>
    <w:rsid w:val="0003765B"/>
    <w:rsid w:val="00044F58"/>
    <w:rsid w:val="00051FA9"/>
    <w:rsid w:val="00055BEF"/>
    <w:rsid w:val="00070491"/>
    <w:rsid w:val="00071F28"/>
    <w:rsid w:val="00074C42"/>
    <w:rsid w:val="00076777"/>
    <w:rsid w:val="0007693F"/>
    <w:rsid w:val="00086694"/>
    <w:rsid w:val="000A192F"/>
    <w:rsid w:val="000A60E5"/>
    <w:rsid w:val="000A624C"/>
    <w:rsid w:val="000A6CC1"/>
    <w:rsid w:val="000B2F58"/>
    <w:rsid w:val="000B7232"/>
    <w:rsid w:val="000B75B9"/>
    <w:rsid w:val="000C09D4"/>
    <w:rsid w:val="000C11C7"/>
    <w:rsid w:val="000C11DE"/>
    <w:rsid w:val="000C5148"/>
    <w:rsid w:val="000D0880"/>
    <w:rsid w:val="000D4446"/>
    <w:rsid w:val="000D67DE"/>
    <w:rsid w:val="000E22CF"/>
    <w:rsid w:val="000E4CB9"/>
    <w:rsid w:val="000F2D16"/>
    <w:rsid w:val="000F5527"/>
    <w:rsid w:val="00110362"/>
    <w:rsid w:val="001104B2"/>
    <w:rsid w:val="00122605"/>
    <w:rsid w:val="001268BF"/>
    <w:rsid w:val="00147C3D"/>
    <w:rsid w:val="0015134E"/>
    <w:rsid w:val="001540FB"/>
    <w:rsid w:val="00161EA8"/>
    <w:rsid w:val="00172480"/>
    <w:rsid w:val="001738C2"/>
    <w:rsid w:val="0017434E"/>
    <w:rsid w:val="00191A14"/>
    <w:rsid w:val="00196BCB"/>
    <w:rsid w:val="001A2DA6"/>
    <w:rsid w:val="001B25CF"/>
    <w:rsid w:val="001B2CFF"/>
    <w:rsid w:val="001C3AF8"/>
    <w:rsid w:val="001C4765"/>
    <w:rsid w:val="001D48C8"/>
    <w:rsid w:val="001D4BE7"/>
    <w:rsid w:val="001E0F3C"/>
    <w:rsid w:val="001E11FA"/>
    <w:rsid w:val="001E3555"/>
    <w:rsid w:val="001F33F3"/>
    <w:rsid w:val="001F5234"/>
    <w:rsid w:val="002000A5"/>
    <w:rsid w:val="00210CFB"/>
    <w:rsid w:val="002117F8"/>
    <w:rsid w:val="0021376C"/>
    <w:rsid w:val="00231347"/>
    <w:rsid w:val="002324C2"/>
    <w:rsid w:val="002344AF"/>
    <w:rsid w:val="00243F95"/>
    <w:rsid w:val="00246E23"/>
    <w:rsid w:val="002479BB"/>
    <w:rsid w:val="00252AD1"/>
    <w:rsid w:val="002610FF"/>
    <w:rsid w:val="00261A59"/>
    <w:rsid w:val="0026622B"/>
    <w:rsid w:val="00271A42"/>
    <w:rsid w:val="0027400B"/>
    <w:rsid w:val="00276545"/>
    <w:rsid w:val="002772D9"/>
    <w:rsid w:val="00281CB5"/>
    <w:rsid w:val="002820B2"/>
    <w:rsid w:val="00285D6D"/>
    <w:rsid w:val="00290820"/>
    <w:rsid w:val="00295405"/>
    <w:rsid w:val="00295D1D"/>
    <w:rsid w:val="002B5BAA"/>
    <w:rsid w:val="002B6D0C"/>
    <w:rsid w:val="002C6435"/>
    <w:rsid w:val="002C6916"/>
    <w:rsid w:val="002D050D"/>
    <w:rsid w:val="002D0622"/>
    <w:rsid w:val="002D12D0"/>
    <w:rsid w:val="002D1794"/>
    <w:rsid w:val="002D18E4"/>
    <w:rsid w:val="002D42E1"/>
    <w:rsid w:val="002D4504"/>
    <w:rsid w:val="002E3823"/>
    <w:rsid w:val="002E4AB8"/>
    <w:rsid w:val="002E5A6A"/>
    <w:rsid w:val="002F24C7"/>
    <w:rsid w:val="002F2762"/>
    <w:rsid w:val="00311447"/>
    <w:rsid w:val="00311528"/>
    <w:rsid w:val="00317887"/>
    <w:rsid w:val="003266AF"/>
    <w:rsid w:val="00331343"/>
    <w:rsid w:val="00336800"/>
    <w:rsid w:val="00337E24"/>
    <w:rsid w:val="0034165A"/>
    <w:rsid w:val="00345DD6"/>
    <w:rsid w:val="00355EB0"/>
    <w:rsid w:val="00360B2C"/>
    <w:rsid w:val="00360FEE"/>
    <w:rsid w:val="00361B61"/>
    <w:rsid w:val="003666A4"/>
    <w:rsid w:val="00367D68"/>
    <w:rsid w:val="003753F6"/>
    <w:rsid w:val="0037577E"/>
    <w:rsid w:val="003778B1"/>
    <w:rsid w:val="003A0D7B"/>
    <w:rsid w:val="003B1EB1"/>
    <w:rsid w:val="003B41F1"/>
    <w:rsid w:val="003B5F16"/>
    <w:rsid w:val="003C5865"/>
    <w:rsid w:val="003D1A53"/>
    <w:rsid w:val="003D1D98"/>
    <w:rsid w:val="003D1E71"/>
    <w:rsid w:val="003D3386"/>
    <w:rsid w:val="003D53CE"/>
    <w:rsid w:val="003D53DB"/>
    <w:rsid w:val="003D6DCD"/>
    <w:rsid w:val="00413B5B"/>
    <w:rsid w:val="00414FE2"/>
    <w:rsid w:val="004173C9"/>
    <w:rsid w:val="0041786A"/>
    <w:rsid w:val="004342B3"/>
    <w:rsid w:val="0044676B"/>
    <w:rsid w:val="00450852"/>
    <w:rsid w:val="0045303F"/>
    <w:rsid w:val="00467226"/>
    <w:rsid w:val="00472888"/>
    <w:rsid w:val="00480D46"/>
    <w:rsid w:val="00482640"/>
    <w:rsid w:val="00483ED3"/>
    <w:rsid w:val="00485A80"/>
    <w:rsid w:val="00497883"/>
    <w:rsid w:val="004A50C0"/>
    <w:rsid w:val="004B09A9"/>
    <w:rsid w:val="004B294F"/>
    <w:rsid w:val="004B4E82"/>
    <w:rsid w:val="004C1629"/>
    <w:rsid w:val="004C3111"/>
    <w:rsid w:val="004C5027"/>
    <w:rsid w:val="004D12DC"/>
    <w:rsid w:val="004D4809"/>
    <w:rsid w:val="004D60D7"/>
    <w:rsid w:val="004D611D"/>
    <w:rsid w:val="004E374B"/>
    <w:rsid w:val="004E746E"/>
    <w:rsid w:val="004E7E1D"/>
    <w:rsid w:val="00502195"/>
    <w:rsid w:val="0050535D"/>
    <w:rsid w:val="00524E56"/>
    <w:rsid w:val="0052764B"/>
    <w:rsid w:val="00531B69"/>
    <w:rsid w:val="005326B3"/>
    <w:rsid w:val="00532D34"/>
    <w:rsid w:val="005335D2"/>
    <w:rsid w:val="0053538C"/>
    <w:rsid w:val="00540826"/>
    <w:rsid w:val="00543F4B"/>
    <w:rsid w:val="00555F3C"/>
    <w:rsid w:val="00557C11"/>
    <w:rsid w:val="005613AC"/>
    <w:rsid w:val="00564905"/>
    <w:rsid w:val="00565456"/>
    <w:rsid w:val="00575EA7"/>
    <w:rsid w:val="00584CC9"/>
    <w:rsid w:val="00587793"/>
    <w:rsid w:val="00590C81"/>
    <w:rsid w:val="0059756F"/>
    <w:rsid w:val="005A3B3F"/>
    <w:rsid w:val="005A67A7"/>
    <w:rsid w:val="005B13C3"/>
    <w:rsid w:val="005B2466"/>
    <w:rsid w:val="005B34A1"/>
    <w:rsid w:val="005B3DF9"/>
    <w:rsid w:val="005B60A4"/>
    <w:rsid w:val="005B7668"/>
    <w:rsid w:val="005C3B48"/>
    <w:rsid w:val="005C7A62"/>
    <w:rsid w:val="005D338B"/>
    <w:rsid w:val="005D420E"/>
    <w:rsid w:val="005F091F"/>
    <w:rsid w:val="00616E19"/>
    <w:rsid w:val="0062212E"/>
    <w:rsid w:val="0062560A"/>
    <w:rsid w:val="006268D9"/>
    <w:rsid w:val="00631626"/>
    <w:rsid w:val="00644706"/>
    <w:rsid w:val="006802A5"/>
    <w:rsid w:val="00685FD3"/>
    <w:rsid w:val="006902D8"/>
    <w:rsid w:val="00694938"/>
    <w:rsid w:val="00695945"/>
    <w:rsid w:val="00696B33"/>
    <w:rsid w:val="006A7B72"/>
    <w:rsid w:val="006B23BE"/>
    <w:rsid w:val="006B5667"/>
    <w:rsid w:val="006C05CD"/>
    <w:rsid w:val="006C07D7"/>
    <w:rsid w:val="006C59D0"/>
    <w:rsid w:val="006D3389"/>
    <w:rsid w:val="006E7113"/>
    <w:rsid w:val="006F2601"/>
    <w:rsid w:val="00702A21"/>
    <w:rsid w:val="00711F53"/>
    <w:rsid w:val="007417F9"/>
    <w:rsid w:val="0074461C"/>
    <w:rsid w:val="00747520"/>
    <w:rsid w:val="007515D9"/>
    <w:rsid w:val="00752D0B"/>
    <w:rsid w:val="007531AD"/>
    <w:rsid w:val="00753F03"/>
    <w:rsid w:val="007614DC"/>
    <w:rsid w:val="00773A59"/>
    <w:rsid w:val="00776C95"/>
    <w:rsid w:val="007A1B31"/>
    <w:rsid w:val="007A2E0D"/>
    <w:rsid w:val="007A7DCE"/>
    <w:rsid w:val="007B2849"/>
    <w:rsid w:val="007B5139"/>
    <w:rsid w:val="007B58B0"/>
    <w:rsid w:val="007B5EF2"/>
    <w:rsid w:val="007B6575"/>
    <w:rsid w:val="007C2342"/>
    <w:rsid w:val="007C6217"/>
    <w:rsid w:val="007CCF76"/>
    <w:rsid w:val="007E2EFB"/>
    <w:rsid w:val="007E39E3"/>
    <w:rsid w:val="007F4A2A"/>
    <w:rsid w:val="007F75A4"/>
    <w:rsid w:val="00812648"/>
    <w:rsid w:val="00816457"/>
    <w:rsid w:val="00820310"/>
    <w:rsid w:val="0082155A"/>
    <w:rsid w:val="008245ED"/>
    <w:rsid w:val="008273C0"/>
    <w:rsid w:val="0083434A"/>
    <w:rsid w:val="00842268"/>
    <w:rsid w:val="0084530E"/>
    <w:rsid w:val="00845948"/>
    <w:rsid w:val="0085471D"/>
    <w:rsid w:val="008669C7"/>
    <w:rsid w:val="00872BBB"/>
    <w:rsid w:val="00887DFC"/>
    <w:rsid w:val="008A62D1"/>
    <w:rsid w:val="008B47CE"/>
    <w:rsid w:val="008B50AD"/>
    <w:rsid w:val="008C2118"/>
    <w:rsid w:val="008C2C3A"/>
    <w:rsid w:val="008C46CF"/>
    <w:rsid w:val="008C46F8"/>
    <w:rsid w:val="008C4E3C"/>
    <w:rsid w:val="008D2821"/>
    <w:rsid w:val="008D680D"/>
    <w:rsid w:val="008D6E5F"/>
    <w:rsid w:val="008E10C4"/>
    <w:rsid w:val="008E65F8"/>
    <w:rsid w:val="008F0B30"/>
    <w:rsid w:val="008F69B1"/>
    <w:rsid w:val="00901D18"/>
    <w:rsid w:val="009125E8"/>
    <w:rsid w:val="00913838"/>
    <w:rsid w:val="00924533"/>
    <w:rsid w:val="00925FDC"/>
    <w:rsid w:val="0094626C"/>
    <w:rsid w:val="009468BB"/>
    <w:rsid w:val="00946E51"/>
    <w:rsid w:val="009708CF"/>
    <w:rsid w:val="0097161E"/>
    <w:rsid w:val="0098285E"/>
    <w:rsid w:val="009839C0"/>
    <w:rsid w:val="009920A0"/>
    <w:rsid w:val="00992170"/>
    <w:rsid w:val="009966C2"/>
    <w:rsid w:val="009A13F1"/>
    <w:rsid w:val="009A3E48"/>
    <w:rsid w:val="009A446F"/>
    <w:rsid w:val="009A565A"/>
    <w:rsid w:val="009AB1B8"/>
    <w:rsid w:val="009B1DC7"/>
    <w:rsid w:val="009B378A"/>
    <w:rsid w:val="009B385A"/>
    <w:rsid w:val="009C03D3"/>
    <w:rsid w:val="009C0F72"/>
    <w:rsid w:val="009E2D31"/>
    <w:rsid w:val="009F66B4"/>
    <w:rsid w:val="00A02648"/>
    <w:rsid w:val="00A02B76"/>
    <w:rsid w:val="00A0345E"/>
    <w:rsid w:val="00A03730"/>
    <w:rsid w:val="00A0570D"/>
    <w:rsid w:val="00A07538"/>
    <w:rsid w:val="00A13089"/>
    <w:rsid w:val="00A30A2D"/>
    <w:rsid w:val="00A362AE"/>
    <w:rsid w:val="00A41C4B"/>
    <w:rsid w:val="00A4588A"/>
    <w:rsid w:val="00A465D6"/>
    <w:rsid w:val="00A47921"/>
    <w:rsid w:val="00A5259F"/>
    <w:rsid w:val="00A62CE5"/>
    <w:rsid w:val="00A64B44"/>
    <w:rsid w:val="00A772AC"/>
    <w:rsid w:val="00A81749"/>
    <w:rsid w:val="00A84F81"/>
    <w:rsid w:val="00A866C8"/>
    <w:rsid w:val="00A922FC"/>
    <w:rsid w:val="00A95C9C"/>
    <w:rsid w:val="00A9782F"/>
    <w:rsid w:val="00AB460D"/>
    <w:rsid w:val="00AC36D4"/>
    <w:rsid w:val="00AD3B50"/>
    <w:rsid w:val="00AD5E11"/>
    <w:rsid w:val="00AD6492"/>
    <w:rsid w:val="00AD6F4C"/>
    <w:rsid w:val="00AD7144"/>
    <w:rsid w:val="00AF3E0F"/>
    <w:rsid w:val="00AF5415"/>
    <w:rsid w:val="00AF6BB9"/>
    <w:rsid w:val="00B03DA3"/>
    <w:rsid w:val="00B10788"/>
    <w:rsid w:val="00B12AAE"/>
    <w:rsid w:val="00B153E9"/>
    <w:rsid w:val="00B20F6E"/>
    <w:rsid w:val="00B22BFE"/>
    <w:rsid w:val="00B30ED5"/>
    <w:rsid w:val="00B31735"/>
    <w:rsid w:val="00B43D40"/>
    <w:rsid w:val="00B43ED3"/>
    <w:rsid w:val="00B44D73"/>
    <w:rsid w:val="00B547E1"/>
    <w:rsid w:val="00B55187"/>
    <w:rsid w:val="00B62614"/>
    <w:rsid w:val="00B705DB"/>
    <w:rsid w:val="00B70924"/>
    <w:rsid w:val="00B730F2"/>
    <w:rsid w:val="00B74117"/>
    <w:rsid w:val="00B86D38"/>
    <w:rsid w:val="00B973D7"/>
    <w:rsid w:val="00BB1BE0"/>
    <w:rsid w:val="00BB414D"/>
    <w:rsid w:val="00BC0548"/>
    <w:rsid w:val="00BC1142"/>
    <w:rsid w:val="00BC6E6A"/>
    <w:rsid w:val="00BD69C8"/>
    <w:rsid w:val="00BD6B8B"/>
    <w:rsid w:val="00BE03C3"/>
    <w:rsid w:val="00BE2745"/>
    <w:rsid w:val="00BE444E"/>
    <w:rsid w:val="00BE5762"/>
    <w:rsid w:val="00BF0437"/>
    <w:rsid w:val="00BF19E7"/>
    <w:rsid w:val="00BF2A64"/>
    <w:rsid w:val="00BF4A9D"/>
    <w:rsid w:val="00C077FC"/>
    <w:rsid w:val="00C17D48"/>
    <w:rsid w:val="00C2114B"/>
    <w:rsid w:val="00C23246"/>
    <w:rsid w:val="00C33ABF"/>
    <w:rsid w:val="00C37B3C"/>
    <w:rsid w:val="00C41273"/>
    <w:rsid w:val="00C420AE"/>
    <w:rsid w:val="00C46943"/>
    <w:rsid w:val="00C470BE"/>
    <w:rsid w:val="00C553B3"/>
    <w:rsid w:val="00C565A3"/>
    <w:rsid w:val="00C56B68"/>
    <w:rsid w:val="00C570A8"/>
    <w:rsid w:val="00C65786"/>
    <w:rsid w:val="00C65C7E"/>
    <w:rsid w:val="00C758F2"/>
    <w:rsid w:val="00C75BCB"/>
    <w:rsid w:val="00C779D1"/>
    <w:rsid w:val="00C8714E"/>
    <w:rsid w:val="00C90E6F"/>
    <w:rsid w:val="00C91B7B"/>
    <w:rsid w:val="00CA1B94"/>
    <w:rsid w:val="00CA4C5D"/>
    <w:rsid w:val="00CA6366"/>
    <w:rsid w:val="00CC5475"/>
    <w:rsid w:val="00CD10DD"/>
    <w:rsid w:val="00CD3988"/>
    <w:rsid w:val="00CD5B4E"/>
    <w:rsid w:val="00CD6783"/>
    <w:rsid w:val="00CE0F32"/>
    <w:rsid w:val="00CE359D"/>
    <w:rsid w:val="00CE476D"/>
    <w:rsid w:val="00CE58BA"/>
    <w:rsid w:val="00CE6316"/>
    <w:rsid w:val="00D04037"/>
    <w:rsid w:val="00D05251"/>
    <w:rsid w:val="00D061CC"/>
    <w:rsid w:val="00D076FC"/>
    <w:rsid w:val="00D10677"/>
    <w:rsid w:val="00D40DF8"/>
    <w:rsid w:val="00D43AA6"/>
    <w:rsid w:val="00D479BD"/>
    <w:rsid w:val="00D5136D"/>
    <w:rsid w:val="00D531C3"/>
    <w:rsid w:val="00D579E8"/>
    <w:rsid w:val="00D61D12"/>
    <w:rsid w:val="00D701B8"/>
    <w:rsid w:val="00D83851"/>
    <w:rsid w:val="00D93843"/>
    <w:rsid w:val="00D939AC"/>
    <w:rsid w:val="00D94D14"/>
    <w:rsid w:val="00D97242"/>
    <w:rsid w:val="00DA0501"/>
    <w:rsid w:val="00DA09E4"/>
    <w:rsid w:val="00DA18CD"/>
    <w:rsid w:val="00DA2E64"/>
    <w:rsid w:val="00DB03E2"/>
    <w:rsid w:val="00DB4F97"/>
    <w:rsid w:val="00DD0262"/>
    <w:rsid w:val="00DD5FD0"/>
    <w:rsid w:val="00DE5BC4"/>
    <w:rsid w:val="00DF006D"/>
    <w:rsid w:val="00DF0FCE"/>
    <w:rsid w:val="00E0100C"/>
    <w:rsid w:val="00E0463D"/>
    <w:rsid w:val="00E07255"/>
    <w:rsid w:val="00E118D1"/>
    <w:rsid w:val="00E16E63"/>
    <w:rsid w:val="00E2100A"/>
    <w:rsid w:val="00E414F1"/>
    <w:rsid w:val="00E4332F"/>
    <w:rsid w:val="00E650DD"/>
    <w:rsid w:val="00E82C6A"/>
    <w:rsid w:val="00E91C07"/>
    <w:rsid w:val="00E96CD2"/>
    <w:rsid w:val="00E9762F"/>
    <w:rsid w:val="00EA13DB"/>
    <w:rsid w:val="00EA1C00"/>
    <w:rsid w:val="00EA7BD6"/>
    <w:rsid w:val="00EB7DB8"/>
    <w:rsid w:val="00EC01E1"/>
    <w:rsid w:val="00EC1899"/>
    <w:rsid w:val="00EC249B"/>
    <w:rsid w:val="00EC4724"/>
    <w:rsid w:val="00ED09DE"/>
    <w:rsid w:val="00ED0E77"/>
    <w:rsid w:val="00ED1660"/>
    <w:rsid w:val="00ED2CB0"/>
    <w:rsid w:val="00ED4493"/>
    <w:rsid w:val="00ED58D1"/>
    <w:rsid w:val="00EE29FE"/>
    <w:rsid w:val="00EF0422"/>
    <w:rsid w:val="00EF248F"/>
    <w:rsid w:val="00EF2D6A"/>
    <w:rsid w:val="00EF4E3B"/>
    <w:rsid w:val="00F00A9F"/>
    <w:rsid w:val="00F06023"/>
    <w:rsid w:val="00F13E2E"/>
    <w:rsid w:val="00F26E6C"/>
    <w:rsid w:val="00F27F91"/>
    <w:rsid w:val="00F33114"/>
    <w:rsid w:val="00F36037"/>
    <w:rsid w:val="00F424D8"/>
    <w:rsid w:val="00F426ED"/>
    <w:rsid w:val="00F508AF"/>
    <w:rsid w:val="00F522A6"/>
    <w:rsid w:val="00F54A37"/>
    <w:rsid w:val="00F55491"/>
    <w:rsid w:val="00F65976"/>
    <w:rsid w:val="00F65F34"/>
    <w:rsid w:val="00F740EB"/>
    <w:rsid w:val="00F742A3"/>
    <w:rsid w:val="00F750F1"/>
    <w:rsid w:val="00F755DF"/>
    <w:rsid w:val="00F821F1"/>
    <w:rsid w:val="00F8740C"/>
    <w:rsid w:val="00F90A61"/>
    <w:rsid w:val="00F962DC"/>
    <w:rsid w:val="00FB43BB"/>
    <w:rsid w:val="00FC1643"/>
    <w:rsid w:val="00FC6106"/>
    <w:rsid w:val="00FE0B6E"/>
    <w:rsid w:val="00FE1680"/>
    <w:rsid w:val="00FE3E2C"/>
    <w:rsid w:val="00FE4EC2"/>
    <w:rsid w:val="00FE55B0"/>
    <w:rsid w:val="00FF380D"/>
    <w:rsid w:val="00FF4909"/>
    <w:rsid w:val="00FF4A9C"/>
    <w:rsid w:val="00FF508C"/>
    <w:rsid w:val="00FF5D5A"/>
    <w:rsid w:val="01382D91"/>
    <w:rsid w:val="01735BCF"/>
    <w:rsid w:val="01D8C3F1"/>
    <w:rsid w:val="01F03F8E"/>
    <w:rsid w:val="021214ED"/>
    <w:rsid w:val="0254AFBC"/>
    <w:rsid w:val="0335B397"/>
    <w:rsid w:val="0348BAD7"/>
    <w:rsid w:val="034C0301"/>
    <w:rsid w:val="036F6433"/>
    <w:rsid w:val="03FFF509"/>
    <w:rsid w:val="04393C16"/>
    <w:rsid w:val="0462CA73"/>
    <w:rsid w:val="04D4936A"/>
    <w:rsid w:val="051943CB"/>
    <w:rsid w:val="05DB64A9"/>
    <w:rsid w:val="05E10A84"/>
    <w:rsid w:val="0633F3F2"/>
    <w:rsid w:val="0639DE1D"/>
    <w:rsid w:val="064C7A11"/>
    <w:rsid w:val="064EF674"/>
    <w:rsid w:val="07243D5B"/>
    <w:rsid w:val="078634FC"/>
    <w:rsid w:val="07B27BED"/>
    <w:rsid w:val="08374599"/>
    <w:rsid w:val="087C92D4"/>
    <w:rsid w:val="09226D8D"/>
    <w:rsid w:val="0A3A2583"/>
    <w:rsid w:val="0AAB7B75"/>
    <w:rsid w:val="0AB22E95"/>
    <w:rsid w:val="0ABBA6AD"/>
    <w:rsid w:val="0B32EBE7"/>
    <w:rsid w:val="0B3F42AE"/>
    <w:rsid w:val="0B5C2D8D"/>
    <w:rsid w:val="0BBF7547"/>
    <w:rsid w:val="0BD15D35"/>
    <w:rsid w:val="0BD382F4"/>
    <w:rsid w:val="0CBB8B7F"/>
    <w:rsid w:val="0D2803C3"/>
    <w:rsid w:val="0D3E0853"/>
    <w:rsid w:val="0DD8D5BA"/>
    <w:rsid w:val="0E408748"/>
    <w:rsid w:val="0E6461A2"/>
    <w:rsid w:val="0F020283"/>
    <w:rsid w:val="100BD481"/>
    <w:rsid w:val="100DA7B4"/>
    <w:rsid w:val="102746EB"/>
    <w:rsid w:val="112A7A5D"/>
    <w:rsid w:val="12309542"/>
    <w:rsid w:val="12C55E2F"/>
    <w:rsid w:val="131E758A"/>
    <w:rsid w:val="14DA97C3"/>
    <w:rsid w:val="16124CC6"/>
    <w:rsid w:val="16215C8E"/>
    <w:rsid w:val="17A76620"/>
    <w:rsid w:val="180CB24A"/>
    <w:rsid w:val="18B92462"/>
    <w:rsid w:val="18F15155"/>
    <w:rsid w:val="195F31B1"/>
    <w:rsid w:val="1973A0C5"/>
    <w:rsid w:val="1A3000BA"/>
    <w:rsid w:val="1BD4AF75"/>
    <w:rsid w:val="1C7BAB4F"/>
    <w:rsid w:val="1D579255"/>
    <w:rsid w:val="1D5E8E68"/>
    <w:rsid w:val="1E26F5EE"/>
    <w:rsid w:val="1E2A61A7"/>
    <w:rsid w:val="1E36D1CA"/>
    <w:rsid w:val="1EE0B1BE"/>
    <w:rsid w:val="1EF45141"/>
    <w:rsid w:val="1EFF3B73"/>
    <w:rsid w:val="1F078B5B"/>
    <w:rsid w:val="1F25656E"/>
    <w:rsid w:val="1F450E60"/>
    <w:rsid w:val="1FC76597"/>
    <w:rsid w:val="2101C07D"/>
    <w:rsid w:val="21290CA6"/>
    <w:rsid w:val="2195B88A"/>
    <w:rsid w:val="2287CA14"/>
    <w:rsid w:val="2302F65F"/>
    <w:rsid w:val="243311CD"/>
    <w:rsid w:val="24EF7F32"/>
    <w:rsid w:val="2507D539"/>
    <w:rsid w:val="261066C6"/>
    <w:rsid w:val="272C5B30"/>
    <w:rsid w:val="272D5146"/>
    <w:rsid w:val="2748B653"/>
    <w:rsid w:val="279A7CF5"/>
    <w:rsid w:val="295FB02D"/>
    <w:rsid w:val="29C11FF9"/>
    <w:rsid w:val="2AA4ABB0"/>
    <w:rsid w:val="2ADD3A6E"/>
    <w:rsid w:val="2B48CB7A"/>
    <w:rsid w:val="2B6767AC"/>
    <w:rsid w:val="2B8F770C"/>
    <w:rsid w:val="2C3B6022"/>
    <w:rsid w:val="2D0C8198"/>
    <w:rsid w:val="2D2718E9"/>
    <w:rsid w:val="2DC046DC"/>
    <w:rsid w:val="2E0670FA"/>
    <w:rsid w:val="2E22DD72"/>
    <w:rsid w:val="2EEF3573"/>
    <w:rsid w:val="2F4E847D"/>
    <w:rsid w:val="2F616E63"/>
    <w:rsid w:val="305F48D7"/>
    <w:rsid w:val="313836DF"/>
    <w:rsid w:val="315E628E"/>
    <w:rsid w:val="318FC7B7"/>
    <w:rsid w:val="321D5C48"/>
    <w:rsid w:val="3240B05A"/>
    <w:rsid w:val="3242BA09"/>
    <w:rsid w:val="32F5B8C1"/>
    <w:rsid w:val="33F7434D"/>
    <w:rsid w:val="34049358"/>
    <w:rsid w:val="34585819"/>
    <w:rsid w:val="34B32208"/>
    <w:rsid w:val="34C202EE"/>
    <w:rsid w:val="34CB3C99"/>
    <w:rsid w:val="3548392D"/>
    <w:rsid w:val="35BD6B70"/>
    <w:rsid w:val="35D45935"/>
    <w:rsid w:val="36426ED3"/>
    <w:rsid w:val="369234C9"/>
    <w:rsid w:val="36AAD50E"/>
    <w:rsid w:val="3721AC58"/>
    <w:rsid w:val="373EC828"/>
    <w:rsid w:val="37739B52"/>
    <w:rsid w:val="3824CC1B"/>
    <w:rsid w:val="384170E1"/>
    <w:rsid w:val="38A17EB8"/>
    <w:rsid w:val="3917D594"/>
    <w:rsid w:val="395AAFBF"/>
    <w:rsid w:val="39E82AF6"/>
    <w:rsid w:val="39F1873A"/>
    <w:rsid w:val="3A473D6E"/>
    <w:rsid w:val="3A80F55D"/>
    <w:rsid w:val="3AB85012"/>
    <w:rsid w:val="3AC845B6"/>
    <w:rsid w:val="3B667D31"/>
    <w:rsid w:val="3BA7E93E"/>
    <w:rsid w:val="3C47153A"/>
    <w:rsid w:val="3CB7BE93"/>
    <w:rsid w:val="3CB92DEC"/>
    <w:rsid w:val="3E6E829D"/>
    <w:rsid w:val="3FD95B72"/>
    <w:rsid w:val="40147D68"/>
    <w:rsid w:val="4016A070"/>
    <w:rsid w:val="405B6F5A"/>
    <w:rsid w:val="40603512"/>
    <w:rsid w:val="40BA8CCB"/>
    <w:rsid w:val="4122CAA4"/>
    <w:rsid w:val="41DCD512"/>
    <w:rsid w:val="4250B611"/>
    <w:rsid w:val="42920CA2"/>
    <w:rsid w:val="429545B8"/>
    <w:rsid w:val="43D07770"/>
    <w:rsid w:val="454D1687"/>
    <w:rsid w:val="45C95885"/>
    <w:rsid w:val="45DFE768"/>
    <w:rsid w:val="463C206A"/>
    <w:rsid w:val="46837373"/>
    <w:rsid w:val="4751BECF"/>
    <w:rsid w:val="47D7F0CB"/>
    <w:rsid w:val="47DA66B7"/>
    <w:rsid w:val="489D2C78"/>
    <w:rsid w:val="48F6D321"/>
    <w:rsid w:val="4A1EB668"/>
    <w:rsid w:val="4BDECBC0"/>
    <w:rsid w:val="4C053C1D"/>
    <w:rsid w:val="4C59858A"/>
    <w:rsid w:val="4C6F5094"/>
    <w:rsid w:val="4D2E9AA6"/>
    <w:rsid w:val="4DB724D6"/>
    <w:rsid w:val="4DC4C087"/>
    <w:rsid w:val="4E3D545B"/>
    <w:rsid w:val="4EF71A38"/>
    <w:rsid w:val="4F1AF87C"/>
    <w:rsid w:val="4FDBA2EA"/>
    <w:rsid w:val="5028F04F"/>
    <w:rsid w:val="50CC5AA9"/>
    <w:rsid w:val="5168C282"/>
    <w:rsid w:val="51942CF9"/>
    <w:rsid w:val="51AC52DB"/>
    <w:rsid w:val="523B25E5"/>
    <w:rsid w:val="5266BAEC"/>
    <w:rsid w:val="52BF18E1"/>
    <w:rsid w:val="52C1D3DB"/>
    <w:rsid w:val="52D0021A"/>
    <w:rsid w:val="5301DA7E"/>
    <w:rsid w:val="53B0ECD9"/>
    <w:rsid w:val="53E12214"/>
    <w:rsid w:val="546A07E1"/>
    <w:rsid w:val="5542E2EB"/>
    <w:rsid w:val="5560AF6F"/>
    <w:rsid w:val="5561163D"/>
    <w:rsid w:val="556D4391"/>
    <w:rsid w:val="55D9C31C"/>
    <w:rsid w:val="55EE495C"/>
    <w:rsid w:val="560261F6"/>
    <w:rsid w:val="567EAE58"/>
    <w:rsid w:val="568C2E3F"/>
    <w:rsid w:val="56B11360"/>
    <w:rsid w:val="57250FA2"/>
    <w:rsid w:val="5779993A"/>
    <w:rsid w:val="580B7666"/>
    <w:rsid w:val="586813D5"/>
    <w:rsid w:val="591A29D1"/>
    <w:rsid w:val="591E961B"/>
    <w:rsid w:val="59800702"/>
    <w:rsid w:val="598F16CA"/>
    <w:rsid w:val="5A8351DF"/>
    <w:rsid w:val="5ABA98E7"/>
    <w:rsid w:val="5AD2F462"/>
    <w:rsid w:val="5BC3C8D3"/>
    <w:rsid w:val="5BD8BDB3"/>
    <w:rsid w:val="5C2FB1B2"/>
    <w:rsid w:val="5D429027"/>
    <w:rsid w:val="5DA02AA7"/>
    <w:rsid w:val="5DD36D49"/>
    <w:rsid w:val="5DE3B309"/>
    <w:rsid w:val="5E14DDB7"/>
    <w:rsid w:val="5E692F68"/>
    <w:rsid w:val="5EACFCA5"/>
    <w:rsid w:val="5F227B39"/>
    <w:rsid w:val="60B0EC1A"/>
    <w:rsid w:val="60CBF9B7"/>
    <w:rsid w:val="612D4B31"/>
    <w:rsid w:val="618E66F7"/>
    <w:rsid w:val="61C32218"/>
    <w:rsid w:val="61E9F9AD"/>
    <w:rsid w:val="6200BF15"/>
    <w:rsid w:val="627EDBDA"/>
    <w:rsid w:val="635E43F2"/>
    <w:rsid w:val="63B5136E"/>
    <w:rsid w:val="63DAE536"/>
    <w:rsid w:val="63FDDDD7"/>
    <w:rsid w:val="647B82B4"/>
    <w:rsid w:val="648FEA92"/>
    <w:rsid w:val="64F5D403"/>
    <w:rsid w:val="65237BCD"/>
    <w:rsid w:val="658341CF"/>
    <w:rsid w:val="65B1BA19"/>
    <w:rsid w:val="65B67C9C"/>
    <w:rsid w:val="663F79BA"/>
    <w:rsid w:val="666C5B48"/>
    <w:rsid w:val="673B1CBD"/>
    <w:rsid w:val="67541B45"/>
    <w:rsid w:val="67E6C472"/>
    <w:rsid w:val="689EC6F3"/>
    <w:rsid w:val="69B6EF9C"/>
    <w:rsid w:val="69CE4B14"/>
    <w:rsid w:val="69FE8D1F"/>
    <w:rsid w:val="6A3BA5B2"/>
    <w:rsid w:val="6A43BC80"/>
    <w:rsid w:val="6AF72914"/>
    <w:rsid w:val="6B12CFA7"/>
    <w:rsid w:val="6BE92038"/>
    <w:rsid w:val="6CE7FB60"/>
    <w:rsid w:val="6D623F92"/>
    <w:rsid w:val="6E64828E"/>
    <w:rsid w:val="70033759"/>
    <w:rsid w:val="70764DC9"/>
    <w:rsid w:val="7085ABE7"/>
    <w:rsid w:val="70DEC828"/>
    <w:rsid w:val="70F5CF83"/>
    <w:rsid w:val="72204BAD"/>
    <w:rsid w:val="727778AC"/>
    <w:rsid w:val="734250E3"/>
    <w:rsid w:val="73911C30"/>
    <w:rsid w:val="73A56686"/>
    <w:rsid w:val="74103786"/>
    <w:rsid w:val="741DD18C"/>
    <w:rsid w:val="7489FFF8"/>
    <w:rsid w:val="74ACC07F"/>
    <w:rsid w:val="75080B72"/>
    <w:rsid w:val="750AA7F7"/>
    <w:rsid w:val="7531E554"/>
    <w:rsid w:val="75594E85"/>
    <w:rsid w:val="76194271"/>
    <w:rsid w:val="764D0E73"/>
    <w:rsid w:val="769D3930"/>
    <w:rsid w:val="76F89023"/>
    <w:rsid w:val="774DCB93"/>
    <w:rsid w:val="775C1D89"/>
    <w:rsid w:val="77D7E37B"/>
    <w:rsid w:val="77E61B01"/>
    <w:rsid w:val="79752C38"/>
    <w:rsid w:val="7A33497C"/>
    <w:rsid w:val="7A889437"/>
    <w:rsid w:val="7B7B01E7"/>
    <w:rsid w:val="7B8BFA3E"/>
    <w:rsid w:val="7CA978A5"/>
    <w:rsid w:val="7CC3E320"/>
    <w:rsid w:val="7D85D382"/>
    <w:rsid w:val="7E1FB1C7"/>
    <w:rsid w:val="7E8F7067"/>
    <w:rsid w:val="7F521BF6"/>
    <w:rsid w:val="7FB60409"/>
    <w:rsid w:val="7FC2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D178E"/>
  <w15:docId w15:val="{C81007F3-487C-43A2-BBD6-DA42925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rsid w:val="008B47CE"/>
    <w:pPr>
      <w:spacing w:after="120" w:line="266" w:lineRule="auto"/>
      <w:jc w:val="both"/>
      <w:outlineLvl w:val="0"/>
    </w:pPr>
    <w:rPr>
      <w:b/>
      <w:color w:val="002060"/>
      <w:sz w:val="28"/>
      <w:szCs w:val="28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unhideWhenUsed/>
    <w:qFormat/>
    <w:pPr>
      <w:keepNext/>
      <w:keepLines/>
      <w:spacing w:after="120" w:line="266" w:lineRule="auto"/>
      <w:jc w:val="both"/>
      <w:outlineLvl w:val="3"/>
    </w:pPr>
    <w:rPr>
      <w:b/>
      <w:color w:val="00488C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BalloonText">
    <w:name w:val="Balloon Text"/>
    <w:basedOn w:val="Normal"/>
    <w:rPr>
      <w:rFonts w:ascii="Times New Roman" w:eastAsia="Times New Roman" w:hAnsi="Times New Roman" w:cs="Times New Roman"/>
      <w:sz w:val="18"/>
      <w:szCs w:val="18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ramecontents">
    <w:name w:val="Frame contents"/>
    <w:basedOn w:val="Standard"/>
  </w:style>
  <w:style w:type="paragraph" w:styleId="Header">
    <w:name w:val="header"/>
    <w:basedOn w:val="Standard"/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imes New Roman" w:eastAsia="Times New Roman" w:hAnsi="Times New Roman" w:cs="Times New Roman"/>
      <w:sz w:val="18"/>
      <w:szCs w:val="18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sz w:val="22"/>
      <w:szCs w:val="20"/>
    </w:rPr>
  </w:style>
  <w:style w:type="character" w:customStyle="1" w:styleId="ListLabel2">
    <w:name w:val="ListLabel 2"/>
    <w:rPr>
      <w:rFonts w:eastAsia="Courier New" w:cs="Courier New"/>
      <w:sz w:val="20"/>
      <w:szCs w:val="20"/>
    </w:rPr>
  </w:style>
  <w:style w:type="character" w:customStyle="1" w:styleId="ListLabel3">
    <w:name w:val="ListLabel 3"/>
    <w:rPr>
      <w:rFonts w:eastAsia="Noto Sans Symbols" w:cs="Noto Sans Symbols"/>
      <w:sz w:val="20"/>
      <w:szCs w:val="20"/>
    </w:rPr>
  </w:style>
  <w:style w:type="character" w:customStyle="1" w:styleId="ListLabel4">
    <w:name w:val="ListLabel 4"/>
    <w:rPr>
      <w:rFonts w:eastAsia="Noto Sans Symbols" w:cs="Noto Sans Symbols"/>
      <w:sz w:val="20"/>
      <w:szCs w:val="20"/>
    </w:rPr>
  </w:style>
  <w:style w:type="character" w:customStyle="1" w:styleId="ListLabel5">
    <w:name w:val="ListLabel 5"/>
    <w:rPr>
      <w:rFonts w:eastAsia="Noto Sans Symbols" w:cs="Noto Sans Symbols"/>
      <w:sz w:val="20"/>
      <w:szCs w:val="20"/>
    </w:rPr>
  </w:style>
  <w:style w:type="character" w:customStyle="1" w:styleId="ListLabel6">
    <w:name w:val="ListLabel 6"/>
    <w:rPr>
      <w:rFonts w:eastAsia="Noto Sans Symbols" w:cs="Noto Sans Symbols"/>
      <w:sz w:val="20"/>
      <w:szCs w:val="20"/>
    </w:rPr>
  </w:style>
  <w:style w:type="character" w:customStyle="1" w:styleId="ListLabel7">
    <w:name w:val="ListLabel 7"/>
    <w:rPr>
      <w:rFonts w:eastAsia="Noto Sans Symbols" w:cs="Noto Sans Symbols"/>
      <w:sz w:val="20"/>
      <w:szCs w:val="20"/>
    </w:rPr>
  </w:style>
  <w:style w:type="character" w:customStyle="1" w:styleId="ListLabel8">
    <w:name w:val="ListLabel 8"/>
    <w:rPr>
      <w:rFonts w:eastAsia="Noto Sans Symbols" w:cs="Noto Sans Symbols"/>
      <w:sz w:val="20"/>
      <w:szCs w:val="20"/>
    </w:rPr>
  </w:style>
  <w:style w:type="character" w:customStyle="1" w:styleId="ListLabel9">
    <w:name w:val="ListLabel 9"/>
    <w:rPr>
      <w:rFonts w:eastAsia="Noto Sans Symbols" w:cs="Noto Sans Symbols"/>
      <w:sz w:val="20"/>
      <w:szCs w:val="20"/>
    </w:rPr>
  </w:style>
  <w:style w:type="character" w:customStyle="1" w:styleId="ListLabel10">
    <w:name w:val="ListLabel 10"/>
    <w:rPr>
      <w:color w:val="00000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CommentSubject">
    <w:name w:val="annotation subject"/>
    <w:basedOn w:val="CommentText"/>
    <w:next w:val="CommentText"/>
    <w:rPr>
      <w:rFonts w:cs="Mangal"/>
      <w:b/>
      <w:bCs/>
      <w:szCs w:val="18"/>
    </w:rPr>
  </w:style>
  <w:style w:type="character" w:customStyle="1" w:styleId="CommentTextChar1">
    <w:name w:val="Comment Text Char1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1"/>
    <w:rPr>
      <w:rFonts w:cs="Mang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C46F8"/>
    <w:pPr>
      <w:ind w:left="720"/>
      <w:contextualSpacing/>
    </w:pPr>
    <w:rPr>
      <w:rFonts w:cs="Mangal"/>
      <w:szCs w:val="20"/>
    </w:r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unhideWhenUsed/>
    <w:rsid w:val="002D050D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050D"/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C553B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778B1"/>
    <w:pPr>
      <w:widowControl/>
      <w:autoSpaceDN/>
      <w:textAlignment w:val="auto"/>
    </w:pPr>
    <w:rPr>
      <w:rFonts w:cs="Mang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0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50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89213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8566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7827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91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315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655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6854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27892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2246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89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6495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5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88025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83819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4592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18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072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220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3583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39449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36451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74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00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55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183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25185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2472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88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9714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540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7636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96268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85492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87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8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2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4561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5680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417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99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12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97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219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1921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67552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59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042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gov.uk/government/collections/government-conversion-factors-for-company-report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greenlab.org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ygreenlab.or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cahealthcare.co.uk/environmental-sustainability/reporting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overnment/collections/government-conversion-factors-for-company-reporting" TargetMode="External"/><Relationship Id="rId2" Type="http://schemas.openxmlformats.org/officeDocument/2006/relationships/hyperlink" Target="https://ghgprotocol.org/standards/scope-3-standard" TargetMode="External"/><Relationship Id="rId1" Type="http://schemas.openxmlformats.org/officeDocument/2006/relationships/hyperlink" Target="https://ghgprotocol.org/corporate-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514835DC3B946918F40BA52A91211" ma:contentTypeVersion="16" ma:contentTypeDescription="Create a new document." ma:contentTypeScope="" ma:versionID="9518016a69d33645022bf0f30dbca638">
  <xsd:schema xmlns:xsd="http://www.w3.org/2001/XMLSchema" xmlns:xs="http://www.w3.org/2001/XMLSchema" xmlns:p="http://schemas.microsoft.com/office/2006/metadata/properties" xmlns:ns2="1a21bef5-d4d0-48d1-af09-447957b9c07b" xmlns:ns3="73d49a18-cfe3-4906-b32e-99b025d0f664" targetNamespace="http://schemas.microsoft.com/office/2006/metadata/properties" ma:root="true" ma:fieldsID="0767a26708f85fea0a186d7142da3fa1" ns2:_="" ns3:_="">
    <xsd:import namespace="1a21bef5-d4d0-48d1-af09-447957b9c07b"/>
    <xsd:import namespace="73d49a18-cfe3-4906-b32e-99b025d0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1bef5-d4d0-48d1-af09-447957b9c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3d2b25-7cb4-4c1a-8a41-d2a06ed2f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9a18-cfe3-4906-b32e-99b025d0f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bb34ff-a79e-4539-8a99-fd5c8892faa1}" ma:internalName="TaxCatchAll" ma:showField="CatchAllData" ma:web="73d49a18-cfe3-4906-b32e-99b025d0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1bef5-d4d0-48d1-af09-447957b9c07b">
      <Terms xmlns="http://schemas.microsoft.com/office/infopath/2007/PartnerControls"/>
    </lcf76f155ced4ddcb4097134ff3c332f>
    <TaxCatchAll xmlns="73d49a18-cfe3-4906-b32e-99b025d0f664" xsi:nil="true"/>
  </documentManagement>
</p:properties>
</file>

<file path=customXml/itemProps1.xml><?xml version="1.0" encoding="utf-8"?>
<ds:datastoreItem xmlns:ds="http://schemas.openxmlformats.org/officeDocument/2006/customXml" ds:itemID="{74237B5C-8262-4B68-9598-400518553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8B2EE-D799-4F16-8F68-59587B9DE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1bef5-d4d0-48d1-af09-447957b9c07b"/>
    <ds:schemaRef ds:uri="73d49a18-cfe3-4906-b32e-99b025d0f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401D3-22DA-442D-80B1-325147AF98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2E6869-C6C4-45F1-9F2E-9E893792F37D}">
  <ds:schemaRefs>
    <ds:schemaRef ds:uri="http://schemas.microsoft.com/office/2006/metadata/properties"/>
    <ds:schemaRef ds:uri="affd618e-6d40-4dd3-a2a5-fad28c5fb368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5de9423-79de-423d-88ed-1bc7eaca9c6c"/>
    <ds:schemaRef ds:uri="6639374e-8d4b-407d-bc98-87936f11fa1d"/>
    <ds:schemaRef ds:uri="73d49a18-cfe3-4906-b32e-99b025d0f664"/>
    <ds:schemaRef ds:uri="1a21bef5-d4d0-48d1-af09-447957b9c07b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1306</Words>
  <Characters>7499</Characters>
  <Application>Microsoft Office Word</Application>
  <DocSecurity>0</DocSecurity>
  <Lines>220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 Healthcare UK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Dittmar</dc:creator>
  <cp:keywords/>
  <cp:lastModifiedBy>Dittmar, Lisa</cp:lastModifiedBy>
  <cp:revision>10</cp:revision>
  <dcterms:created xsi:type="dcterms:W3CDTF">2026-03-09T16:41:00Z</dcterms:created>
  <dcterms:modified xsi:type="dcterms:W3CDTF">2026-03-16T11:43:00Z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0x0101009CC514835DC3B946918F40BA52A91211</vt:lpwstr>
  </property>
  <property fmtid="{D5CDD505-2E9C-101B-9397-08002B2CF9AE}" pid="4" name="Jurisdiction">
    <vt:lpwstr/>
  </property>
  <property fmtid="{D5CDD505-2E9C-101B-9397-08002B2CF9AE}" pid="5" name="ServiceLine">
    <vt:lpwstr/>
  </property>
  <property fmtid="{D5CDD505-2E9C-101B-9397-08002B2CF9AE}" pid="6" name="_dlc_DocIdItemGuid">
    <vt:lpwstr>25ee88a8-8510-4a34-923e-a620a2cffe07</vt:lpwstr>
  </property>
  <property fmtid="{D5CDD505-2E9C-101B-9397-08002B2CF9AE}" pid="7" name="SubServiceLine">
    <vt:lpwstr/>
  </property>
</Properties>
</file>